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560" w:lineRule="atLeast"/>
        <w:ind w:firstLine="640" w:firstLineChars="200"/>
        <w:jc w:val="left"/>
        <w:textAlignment w:val="baseline"/>
        <w:rPr>
          <w:rFonts w:ascii="宋体" w:hAnsi="宋体" w:cs="宋体"/>
          <w:color w:val="000000"/>
          <w:kern w:val="0"/>
          <w:sz w:val="24"/>
        </w:rPr>
      </w:pPr>
      <w:r>
        <w:rPr>
          <w:rFonts w:hint="eastAsia" w:ascii="仿宋" w:hAnsi="仿宋" w:eastAsia="仿宋" w:cs="宋体"/>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政务服务科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宜春市发展和改革委员会网站（政府信息公开平台）下载。如对本报告有任何疑问，请与我委政务服务科联系</w:t>
      </w:r>
      <w:r>
        <w:rPr>
          <w:rFonts w:hint="eastAsia" w:ascii="仿宋" w:hAnsi="仿宋" w:eastAsia="仿宋" w:cs="宋体"/>
          <w:color w:val="000000"/>
          <w:kern w:val="0"/>
          <w:sz w:val="32"/>
          <w:szCs w:val="32"/>
        </w:rPr>
        <w:t xml:space="preserve"> (地址：宜春市宜阳大厦中座三楼发展改革委窗口，邮编：336000，电话：0795-3216701，电子邮箱：</w:t>
      </w:r>
      <w:r>
        <w:fldChar w:fldCharType="begin"/>
      </w:r>
      <w:r>
        <w:instrText xml:space="preserve"> HYPERLINK "mailto:webmaster@shanghaiit.gov.cn" </w:instrText>
      </w:r>
      <w:r>
        <w:fldChar w:fldCharType="separate"/>
      </w:r>
      <w:r>
        <w:rPr>
          <w:rFonts w:hint="eastAsia" w:ascii="仿宋" w:hAnsi="仿宋" w:eastAsia="仿宋" w:cs="宋体"/>
          <w:kern w:val="0"/>
          <w:sz w:val="32"/>
        </w:rPr>
        <w:t>fgwxzfwk@163.com</w:t>
      </w:r>
      <w:r>
        <w:rPr>
          <w:rFonts w:hint="eastAsia" w:ascii="仿宋" w:hAnsi="仿宋" w:eastAsia="仿宋" w:cs="宋体"/>
          <w:kern w:val="0"/>
          <w:sz w:val="32"/>
        </w:rPr>
        <w:fldChar w:fldCharType="end"/>
      </w:r>
      <w:r>
        <w:rPr>
          <w:rFonts w:hint="eastAsia" w:ascii="仿宋" w:hAnsi="仿宋" w:eastAsia="仿宋" w:cs="宋体"/>
          <w:color w:val="000000"/>
          <w:kern w:val="0"/>
          <w:sz w:val="32"/>
          <w:szCs w:val="32"/>
        </w:rPr>
        <w:t>)。</w:t>
      </w:r>
    </w:p>
    <w:p>
      <w:pPr>
        <w:widowControl/>
        <w:numPr>
          <w:ilvl w:val="0"/>
          <w:numId w:val="1"/>
        </w:numPr>
        <w:spacing w:line="465" w:lineRule="atLeast"/>
        <w:ind w:firstLine="702" w:firstLineChars="250"/>
        <w:rPr>
          <w:rFonts w:ascii="黑体" w:hAnsi="黑体" w:eastAsia="黑体" w:cs="宋体"/>
          <w:b/>
          <w:color w:val="333333"/>
          <w:kern w:val="0"/>
          <w:sz w:val="28"/>
          <w:szCs w:val="28"/>
        </w:rPr>
      </w:pPr>
      <w:r>
        <w:rPr>
          <w:rFonts w:hint="eastAsia" w:ascii="黑体" w:hAnsi="黑体" w:eastAsia="黑体" w:cs="宋体"/>
          <w:b/>
          <w:color w:val="333333"/>
          <w:kern w:val="0"/>
          <w:sz w:val="28"/>
          <w:szCs w:val="28"/>
        </w:rPr>
        <w:t>总体情况</w:t>
      </w:r>
    </w:p>
    <w:p>
      <w:pPr>
        <w:pStyle w:val="5"/>
        <w:shd w:val="clear" w:color="auto" w:fill="FFFFFF"/>
        <w:spacing w:beforeAutospacing="0" w:afterAutospacing="0"/>
        <w:ind w:firstLine="640" w:firstLineChars="200"/>
        <w:jc w:val="both"/>
        <w:rPr>
          <w:rFonts w:ascii="仿宋" w:hAnsi="仿宋" w:eastAsia="仿宋"/>
          <w:kern w:val="2"/>
          <w:sz w:val="32"/>
          <w:szCs w:val="32"/>
        </w:rPr>
      </w:pPr>
      <w:r>
        <w:rPr>
          <w:rFonts w:hint="eastAsia" w:ascii="仿宋" w:hAnsi="仿宋" w:eastAsia="仿宋"/>
          <w:kern w:val="2"/>
          <w:sz w:val="32"/>
          <w:szCs w:val="32"/>
        </w:rPr>
        <w:t>2020年市发展改革委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紧紧围绕“六稳”“六保”优化营商环境，产业兴市、工业强市，推进区域中心城市建设，建设“三个中心、一个基地”等市委、市政府中心工作及社会群众关注关切，着力提升政府信息公开质量，推进拓宽政府信息公开渠道，不断增强政府信息公开实效。</w:t>
      </w:r>
    </w:p>
    <w:p>
      <w:pPr>
        <w:pStyle w:val="11"/>
        <w:ind w:firstLine="640" w:firstLineChars="200"/>
        <w:rPr>
          <w:rFonts w:ascii="楷体" w:hAnsi="楷体" w:eastAsia="楷体"/>
          <w:sz w:val="32"/>
          <w:szCs w:val="32"/>
        </w:rPr>
      </w:pPr>
      <w:r>
        <w:rPr>
          <w:rFonts w:hint="eastAsia" w:ascii="楷体" w:hAnsi="楷体" w:eastAsia="楷体"/>
          <w:sz w:val="32"/>
          <w:szCs w:val="32"/>
        </w:rPr>
        <w:t>(一)主动公开方面</w:t>
      </w:r>
    </w:p>
    <w:p>
      <w:pPr>
        <w:widowControl/>
        <w:spacing w:line="465" w:lineRule="atLeast"/>
        <w:ind w:firstLine="600"/>
        <w:rPr>
          <w:rFonts w:ascii="仿宋" w:hAnsi="仿宋" w:eastAsia="仿宋"/>
          <w:sz w:val="32"/>
          <w:szCs w:val="32"/>
        </w:rPr>
      </w:pPr>
      <w:r>
        <w:rPr>
          <w:rFonts w:hint="eastAsia" w:ascii="仿宋" w:hAnsi="仿宋" w:eastAsia="仿宋"/>
          <w:sz w:val="32"/>
          <w:szCs w:val="32"/>
        </w:rPr>
        <w:t>为保障公民、法人和其他组织知情权、参与权及监督权，我委制定了《宜春市发展改革委政府信息主动公开制度》、《宜春市发改委政府信息公开考评》等8项配套制度,建立健全了政府信息公开运作机制。严格按照“五公开”的要求认真编制了标准化目录，主要包括：</w:t>
      </w:r>
      <w:r>
        <w:rPr>
          <w:rFonts w:hint="eastAsia" w:ascii="仿宋" w:hAnsi="仿宋" w:eastAsia="仿宋" w:cs="宋体"/>
          <w:sz w:val="32"/>
          <w:szCs w:val="32"/>
        </w:rPr>
        <w:t>决策公开（重大行政决策法定程序、重大决策预公开制度、意见征集形式）</w:t>
      </w:r>
      <w:r>
        <w:rPr>
          <w:rFonts w:hint="eastAsia" w:ascii="仿宋" w:hAnsi="仿宋" w:eastAsia="仿宋"/>
          <w:sz w:val="32"/>
          <w:szCs w:val="32"/>
        </w:rPr>
        <w:t>、</w:t>
      </w:r>
      <w:r>
        <w:rPr>
          <w:rFonts w:hint="eastAsia" w:ascii="仿宋" w:hAnsi="仿宋" w:eastAsia="仿宋" w:cs="宋体"/>
          <w:sz w:val="32"/>
          <w:szCs w:val="32"/>
        </w:rPr>
        <w:t>管理公开（权责清单、清单动态调整公开机制、行政执法公示制度、监管情况）</w:t>
      </w:r>
      <w:r>
        <w:rPr>
          <w:rFonts w:hint="eastAsia" w:ascii="仿宋" w:hAnsi="仿宋" w:eastAsia="仿宋"/>
          <w:sz w:val="32"/>
          <w:szCs w:val="32"/>
        </w:rPr>
        <w:t>、</w:t>
      </w:r>
      <w:r>
        <w:rPr>
          <w:rFonts w:hint="eastAsia" w:ascii="仿宋" w:hAnsi="仿宋" w:eastAsia="仿宋" w:cs="宋体"/>
          <w:sz w:val="32"/>
          <w:szCs w:val="32"/>
        </w:rPr>
        <w:t>服务公开（公开服务事项、行政审批中介服务事项清单、体政务服务中心与网上办事大厅结合）</w:t>
      </w:r>
      <w:r>
        <w:rPr>
          <w:rFonts w:hint="eastAsia" w:ascii="仿宋" w:hAnsi="仿宋" w:eastAsia="仿宋"/>
          <w:sz w:val="32"/>
          <w:szCs w:val="32"/>
        </w:rPr>
        <w:t>、</w:t>
      </w:r>
      <w:r>
        <w:rPr>
          <w:rFonts w:hint="eastAsia" w:ascii="仿宋" w:hAnsi="仿宋" w:eastAsia="仿宋" w:cs="宋体"/>
          <w:sz w:val="32"/>
          <w:szCs w:val="32"/>
        </w:rPr>
        <w:t>结果公开（重大决策及重要政策落实情况、发展规划及政府工作报告、政府决定事项落实、重大决策跟踪反馈和评估制度）</w:t>
      </w:r>
      <w:r>
        <w:rPr>
          <w:rFonts w:hint="eastAsia" w:ascii="仿宋" w:hAnsi="仿宋" w:eastAsia="仿宋"/>
          <w:sz w:val="32"/>
          <w:szCs w:val="32"/>
        </w:rPr>
        <w:t>、</w:t>
      </w:r>
      <w:r>
        <w:rPr>
          <w:rFonts w:hint="eastAsia" w:ascii="仿宋" w:hAnsi="仿宋" w:eastAsia="仿宋" w:cs="宋体"/>
          <w:sz w:val="32"/>
          <w:szCs w:val="32"/>
        </w:rPr>
        <w:t>执行公开（重点领域信息公开、财政预决算、公共资源配置、重大建设项目批准和实施、社会公益事业建设等领域）</w:t>
      </w:r>
      <w:r>
        <w:rPr>
          <w:rFonts w:hint="eastAsia" w:ascii="仿宋" w:hAnsi="仿宋" w:eastAsia="仿宋"/>
          <w:sz w:val="32"/>
          <w:szCs w:val="32"/>
        </w:rPr>
        <w:t>等方面的内容。完善了我委决策、执行、管理、服务、结果公开的流程，构成了一个较为完整的政府信息公开工作制度体系，为用权公开更好落实提供了制度保障。</w:t>
      </w:r>
    </w:p>
    <w:p>
      <w:pPr>
        <w:widowControl/>
        <w:spacing w:line="465" w:lineRule="atLeast"/>
        <w:ind w:firstLine="600"/>
        <w:rPr>
          <w:rFonts w:ascii="仿宋" w:hAnsi="仿宋" w:eastAsia="仿宋"/>
          <w:sz w:val="32"/>
          <w:szCs w:val="32"/>
        </w:rPr>
      </w:pPr>
      <w:r>
        <w:rPr>
          <w:rFonts w:hint="eastAsia" w:ascii="仿宋" w:hAnsi="仿宋" w:eastAsia="仿宋"/>
          <w:sz w:val="32"/>
          <w:szCs w:val="32"/>
        </w:rPr>
        <w:t>决策过程中，我委在制定“十四五”规划草案时，严格按照重大决策预公开相关要求，多方征求意见，听取意见建议，并对意见征集和意见采纳结果双公开。一年来，我委</w:t>
      </w:r>
      <w:r>
        <w:rPr>
          <w:rFonts w:ascii="仿宋" w:hAnsi="仿宋" w:eastAsia="仿宋"/>
          <w:sz w:val="32"/>
          <w:szCs w:val="32"/>
        </w:rPr>
        <w:t>通过宜春市发展和改革委员会门户网站主动发布</w:t>
      </w:r>
      <w:r>
        <w:rPr>
          <w:rFonts w:hint="eastAsia" w:ascii="仿宋" w:hAnsi="仿宋" w:eastAsia="仿宋"/>
          <w:sz w:val="32"/>
          <w:szCs w:val="32"/>
        </w:rPr>
        <w:t>信息共计492条，通过</w:t>
      </w:r>
      <w:r>
        <w:rPr>
          <w:rFonts w:ascii="仿宋" w:hAnsi="仿宋" w:eastAsia="仿宋"/>
          <w:sz w:val="32"/>
          <w:szCs w:val="32"/>
        </w:rPr>
        <w:t>微博公开</w:t>
      </w:r>
      <w:r>
        <w:rPr>
          <w:rFonts w:hint="eastAsia" w:ascii="仿宋" w:hAnsi="仿宋" w:eastAsia="仿宋"/>
          <w:sz w:val="32"/>
          <w:szCs w:val="32"/>
        </w:rPr>
        <w:t>发布</w:t>
      </w:r>
      <w:r>
        <w:rPr>
          <w:rFonts w:ascii="仿宋" w:hAnsi="仿宋" w:eastAsia="仿宋"/>
          <w:sz w:val="32"/>
          <w:szCs w:val="32"/>
        </w:rPr>
        <w:t>信息1</w:t>
      </w:r>
      <w:r>
        <w:rPr>
          <w:rFonts w:hint="eastAsia" w:ascii="仿宋" w:hAnsi="仿宋" w:eastAsia="仿宋"/>
          <w:sz w:val="32"/>
          <w:szCs w:val="32"/>
        </w:rPr>
        <w:t>72</w:t>
      </w:r>
      <w:r>
        <w:rPr>
          <w:rFonts w:ascii="仿宋" w:hAnsi="仿宋" w:eastAsia="仿宋"/>
          <w:sz w:val="32"/>
          <w:szCs w:val="32"/>
        </w:rPr>
        <w:t>条</w:t>
      </w:r>
      <w:r>
        <w:rPr>
          <w:rFonts w:hint="eastAsia" w:ascii="仿宋" w:hAnsi="仿宋" w:eastAsia="仿宋"/>
          <w:sz w:val="32"/>
          <w:szCs w:val="32"/>
        </w:rPr>
        <w:t>。其中政务信息主动公开197条，包括答复人大代表建议18件，政协委员建议7件，概况信息26条，规范性文件7条，发展规划4条，行政执法信息9条，涉企收费清单4条，双随机一公开信息1条，重大决策预公开信息5条，决策部署落实情况3条。</w:t>
      </w:r>
    </w:p>
    <w:p>
      <w:pPr>
        <w:ind w:firstLine="640" w:firstLineChars="200"/>
        <w:rPr>
          <w:rFonts w:ascii="仿宋" w:hAnsi="仿宋" w:eastAsia="仿宋"/>
          <w:sz w:val="32"/>
          <w:szCs w:val="32"/>
        </w:rPr>
      </w:pPr>
      <w:r>
        <w:rPr>
          <w:rFonts w:hint="eastAsia" w:ascii="仿宋" w:hAnsi="仿宋" w:eastAsia="仿宋"/>
          <w:sz w:val="32"/>
          <w:szCs w:val="32"/>
        </w:rPr>
        <w:t>2020年，累计召开“六稳”“六保”、涉企政策等</w:t>
      </w:r>
      <w:r>
        <w:rPr>
          <w:rFonts w:ascii="仿宋" w:hAnsi="仿宋" w:eastAsia="仿宋"/>
          <w:sz w:val="32"/>
          <w:szCs w:val="32"/>
        </w:rPr>
        <w:t>新闻发布会</w:t>
      </w:r>
      <w:r>
        <w:rPr>
          <w:rFonts w:hint="eastAsia" w:ascii="仿宋" w:hAnsi="仿宋" w:eastAsia="仿宋"/>
          <w:sz w:val="32"/>
          <w:szCs w:val="32"/>
        </w:rPr>
        <w:t>7</w:t>
      </w:r>
      <w:r>
        <w:rPr>
          <w:rFonts w:ascii="仿宋" w:hAnsi="仿宋" w:eastAsia="仿宋"/>
          <w:sz w:val="32"/>
          <w:szCs w:val="32"/>
        </w:rPr>
        <w:t>场, 其中主要负责同志参加新闻发布会</w:t>
      </w:r>
      <w:r>
        <w:rPr>
          <w:rFonts w:hint="eastAsia" w:ascii="仿宋" w:hAnsi="仿宋" w:eastAsia="仿宋"/>
          <w:sz w:val="32"/>
          <w:szCs w:val="32"/>
        </w:rPr>
        <w:t>2</w:t>
      </w:r>
      <w:r>
        <w:rPr>
          <w:rFonts w:ascii="仿宋" w:hAnsi="仿宋" w:eastAsia="仿宋"/>
          <w:sz w:val="32"/>
          <w:szCs w:val="32"/>
        </w:rPr>
        <w:t>次</w:t>
      </w:r>
      <w:r>
        <w:rPr>
          <w:rFonts w:hint="eastAsia" w:ascii="仿宋" w:hAnsi="仿宋" w:eastAsia="仿宋"/>
          <w:sz w:val="32"/>
          <w:szCs w:val="32"/>
        </w:rPr>
        <w:t>，发布政策解读稿件7件。针对惠企政策水电气价、物业管理停车收费等公众关注咨询热点电话回应57次，办理12345政府热线工单47件，答复有关铁路项目规划和重大建设项目建设进度公开等市民建言回应3条，答复政务服务互动管理平台市民咨询1条，以上答复全部按时办结，办理结果当事人表示满意或得到平台认可。</w:t>
      </w:r>
    </w:p>
    <w:p>
      <w:pPr>
        <w:pStyle w:val="11"/>
        <w:ind w:firstLine="640" w:firstLineChars="200"/>
        <w:rPr>
          <w:rFonts w:ascii="楷体" w:hAnsi="楷体" w:eastAsia="楷体"/>
          <w:sz w:val="32"/>
          <w:szCs w:val="32"/>
          <w:shd w:val="clear" w:color="auto" w:fill="FFFFFF"/>
        </w:rPr>
      </w:pPr>
      <w:r>
        <w:rPr>
          <w:rFonts w:hint="eastAsia" w:ascii="楷体" w:hAnsi="楷体" w:eastAsia="楷体"/>
          <w:sz w:val="32"/>
          <w:szCs w:val="32"/>
          <w:shd w:val="clear" w:color="auto" w:fill="FFFFFF"/>
        </w:rPr>
        <w:t>(二)依申请公开</w:t>
      </w:r>
    </w:p>
    <w:p>
      <w:pPr>
        <w:pStyle w:val="5"/>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为保证政府信息依申请公开依法依规，我委专门出台了《宜春市发展和改革委员会行政执法案例整理编辑制度和典型案例发布制度》，进一步明确了全委依申请公开的相关规定，重新修订了发文流程，完善了公平审查制度审查程序。工作中，为保证依申请公开的合法性，及时办理公民、法人和其他组织向我委提出的政府信息公开申请。2020年，我委共受理政府信息公开申请29件，其中信函申请8件，网络申请21件，同比增长52.6%</w:t>
      </w:r>
      <w:r>
        <w:rPr>
          <w:rFonts w:hint="eastAsia" w:ascii="仿宋" w:hAnsi="仿宋" w:eastAsia="仿宋"/>
          <w:sz w:val="32"/>
          <w:szCs w:val="32"/>
        </w:rPr>
        <w:t>。申请事由主要涉及棚户区改造立项批复、大中专生就业、国民经济和社会发展年度计划分配名单等方面。截至12月底，我委所有依申请信息公开均按期办结回复，回复满意率100%</w:t>
      </w:r>
      <w:r>
        <w:rPr>
          <w:rFonts w:hint="eastAsia" w:ascii="仿宋" w:hAnsi="仿宋" w:eastAsia="仿宋"/>
          <w:sz w:val="32"/>
          <w:szCs w:val="32"/>
        </w:rPr>
        <w:t>。</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二、主动公开政府信息情况</w:t>
      </w:r>
    </w:p>
    <w:tbl>
      <w:tblPr>
        <w:tblStyle w:val="6"/>
        <w:tblW w:w="8140" w:type="dxa"/>
        <w:jc w:val="center"/>
        <w:tblLayout w:type="fixed"/>
        <w:tblCellMar>
          <w:top w:w="15" w:type="dxa"/>
          <w:left w:w="15" w:type="dxa"/>
          <w:bottom w:w="15" w:type="dxa"/>
          <w:right w:w="15" w:type="dxa"/>
        </w:tblCellMar>
      </w:tblPr>
      <w:tblGrid>
        <w:gridCol w:w="3113"/>
        <w:gridCol w:w="1875"/>
        <w:gridCol w:w="6"/>
        <w:gridCol w:w="1265"/>
        <w:gridCol w:w="1881"/>
      </w:tblGrid>
      <w:tr>
        <w:tblPrEx>
          <w:tblCellMar>
            <w:top w:w="15" w:type="dxa"/>
            <w:left w:w="15" w:type="dxa"/>
            <w:bottom w:w="15" w:type="dxa"/>
            <w:right w:w="15"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第二十条第（一）项</w:t>
            </w:r>
          </w:p>
        </w:tc>
      </w:tr>
      <w:tr>
        <w:tblPrEx>
          <w:tblCellMar>
            <w:top w:w="15" w:type="dxa"/>
            <w:left w:w="15" w:type="dxa"/>
            <w:bottom w:w="15" w:type="dxa"/>
            <w:right w:w="15"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本年新</w:t>
            </w:r>
            <w:r>
              <w:rPr>
                <w:rFonts w:hint="eastAsia" w:ascii="宋体" w:hAnsi="宋体" w:eastAsia="宋体" w:cs="宋体"/>
                <w:color w:val="000000"/>
                <w:sz w:val="20"/>
                <w:szCs w:val="20"/>
              </w:rPr>
              <w:br w:type="textWrapping"/>
            </w:r>
            <w:r>
              <w:rPr>
                <w:rFonts w:ascii="宋体" w:hAnsi="宋体" w:eastAsia="宋体" w:cs="宋体"/>
                <w:color w:val="000000"/>
                <w:sz w:val="20"/>
                <w:szCs w:val="20"/>
              </w:rPr>
              <w:t>制作数量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本年新</w:t>
            </w:r>
            <w:r>
              <w:rPr>
                <w:rFonts w:hint="eastAsia" w:ascii="宋体" w:hAnsi="宋体" w:eastAsia="宋体" w:cs="宋体"/>
                <w:color w:val="000000"/>
                <w:sz w:val="20"/>
                <w:szCs w:val="20"/>
              </w:rPr>
              <w:br w:type="textWrapping"/>
            </w:r>
            <w:r>
              <w:rPr>
                <w:rFonts w:ascii="宋体" w:hAnsi="宋体" w:eastAsia="宋体" w:cs="宋体"/>
                <w:color w:val="000000"/>
                <w:sz w:val="20"/>
                <w:szCs w:val="20"/>
              </w:rPr>
              <w:t>公开数量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对外公开总数量</w:t>
            </w:r>
          </w:p>
        </w:tc>
      </w:tr>
      <w:tr>
        <w:tblPrEx>
          <w:tblCellMar>
            <w:top w:w="15" w:type="dxa"/>
            <w:left w:w="15" w:type="dxa"/>
            <w:bottom w:w="15" w:type="dxa"/>
            <w:right w:w="15"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宋体" w:hAnsi="宋体" w:eastAsia="宋体" w:cs="宋体"/>
                <w:color w:val="000000"/>
                <w:sz w:val="20"/>
                <w:szCs w:val="20"/>
              </w:rPr>
              <w:t>规章</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r>
      <w:tr>
        <w:tblPrEx>
          <w:tblCellMar>
            <w:top w:w="15" w:type="dxa"/>
            <w:left w:w="15" w:type="dxa"/>
            <w:bottom w:w="15" w:type="dxa"/>
            <w:right w:w="15"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宋体" w:hAnsi="宋体" w:eastAsia="宋体" w:cs="宋体"/>
                <w:color w:val="000000"/>
                <w:sz w:val="20"/>
                <w:szCs w:val="20"/>
              </w:rPr>
              <w:t>规范性文件</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4</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4</w:t>
            </w:r>
          </w:p>
        </w:tc>
      </w:tr>
      <w:tr>
        <w:tblPrEx>
          <w:tblCellMar>
            <w:top w:w="15" w:type="dxa"/>
            <w:left w:w="15" w:type="dxa"/>
            <w:bottom w:w="15" w:type="dxa"/>
            <w:right w:w="15"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第二十条第（五）项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处理决定数量</w:t>
            </w:r>
          </w:p>
        </w:tc>
      </w:tr>
      <w:tr>
        <w:tblPrEx>
          <w:tblCellMar>
            <w:top w:w="15" w:type="dxa"/>
            <w:left w:w="15" w:type="dxa"/>
            <w:bottom w:w="15" w:type="dxa"/>
            <w:right w:w="15"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宋体" w:hAnsi="宋体" w:eastAsia="宋体" w:cs="宋体"/>
                <w:color w:val="000000"/>
                <w:sz w:val="20"/>
                <w:szCs w:val="20"/>
              </w:rPr>
              <w:t>行政许可</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2</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15</w:t>
            </w:r>
          </w:p>
        </w:tc>
      </w:tr>
      <w:tr>
        <w:tblPrEx>
          <w:tblCellMar>
            <w:top w:w="15" w:type="dxa"/>
            <w:left w:w="15" w:type="dxa"/>
            <w:bottom w:w="15" w:type="dxa"/>
            <w:right w:w="15"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宋体" w:hAnsi="宋体" w:eastAsia="宋体" w:cs="宋体"/>
                <w:color w:val="000000"/>
                <w:sz w:val="20"/>
                <w:szCs w:val="20"/>
              </w:rPr>
              <w:t>其他对外管理服务事项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r>
      <w:tr>
        <w:tblPrEx>
          <w:tblCellMar>
            <w:top w:w="15" w:type="dxa"/>
            <w:left w:w="15" w:type="dxa"/>
            <w:bottom w:w="15" w:type="dxa"/>
            <w:right w:w="15"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第二十条第（六）项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处理决定数量</w:t>
            </w:r>
          </w:p>
        </w:tc>
      </w:tr>
      <w:tr>
        <w:tblPrEx>
          <w:tblCellMar>
            <w:top w:w="15" w:type="dxa"/>
            <w:left w:w="15" w:type="dxa"/>
            <w:bottom w:w="15" w:type="dxa"/>
            <w:right w:w="15"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宋体" w:hAnsi="宋体" w:eastAsia="宋体" w:cs="宋体"/>
                <w:color w:val="000000"/>
                <w:sz w:val="20"/>
                <w:szCs w:val="20"/>
              </w:rPr>
              <w:t>行政处罚</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r>
      <w:tr>
        <w:tblPrEx>
          <w:tblCellMar>
            <w:top w:w="15" w:type="dxa"/>
            <w:left w:w="15" w:type="dxa"/>
            <w:bottom w:w="15" w:type="dxa"/>
            <w:right w:w="15"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宋体" w:hAnsi="宋体" w:eastAsia="宋体" w:cs="宋体"/>
                <w:color w:val="000000"/>
                <w:sz w:val="20"/>
                <w:szCs w:val="20"/>
              </w:rPr>
              <w:t>行政强制</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r>
      <w:tr>
        <w:tblPrEx>
          <w:tblCellMar>
            <w:top w:w="15" w:type="dxa"/>
            <w:left w:w="15" w:type="dxa"/>
            <w:bottom w:w="15" w:type="dxa"/>
            <w:right w:w="15"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第二十条第（八）项</w:t>
            </w:r>
          </w:p>
        </w:tc>
      </w:tr>
      <w:tr>
        <w:tblPrEx>
          <w:tblCellMar>
            <w:top w:w="15" w:type="dxa"/>
            <w:left w:w="15" w:type="dxa"/>
            <w:bottom w:w="15" w:type="dxa"/>
            <w:right w:w="15"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信息内容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宋体" w:hAnsi="宋体" w:eastAsia="宋体" w:cs="宋体"/>
                <w:color w:val="000000"/>
                <w:sz w:val="20"/>
                <w:szCs w:val="20"/>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本年增/减</w:t>
            </w:r>
          </w:p>
        </w:tc>
      </w:tr>
      <w:tr>
        <w:tblPrEx>
          <w:tblCellMar>
            <w:top w:w="15" w:type="dxa"/>
            <w:left w:w="15" w:type="dxa"/>
            <w:bottom w:w="15" w:type="dxa"/>
            <w:right w:w="15"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宋体" w:hAnsi="宋体" w:eastAsia="宋体" w:cs="宋体"/>
                <w:color w:val="000000"/>
                <w:sz w:val="20"/>
                <w:szCs w:val="20"/>
              </w:rPr>
              <w:t>行政事业性收费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r>
      <w:tr>
        <w:tblPrEx>
          <w:tblCellMar>
            <w:top w:w="15" w:type="dxa"/>
            <w:left w:w="15" w:type="dxa"/>
            <w:bottom w:w="15" w:type="dxa"/>
            <w:right w:w="15"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第二十条第（九）项</w:t>
            </w:r>
          </w:p>
        </w:tc>
      </w:tr>
      <w:tr>
        <w:tblPrEx>
          <w:tblCellMar>
            <w:top w:w="15" w:type="dxa"/>
            <w:left w:w="15" w:type="dxa"/>
            <w:bottom w:w="15" w:type="dxa"/>
            <w:right w:w="15"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信息内容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采购总金额</w:t>
            </w:r>
          </w:p>
        </w:tc>
      </w:tr>
      <w:tr>
        <w:tblPrEx>
          <w:tblCellMar>
            <w:top w:w="15" w:type="dxa"/>
            <w:left w:w="15" w:type="dxa"/>
            <w:bottom w:w="15" w:type="dxa"/>
            <w:right w:w="15"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宋体" w:hAnsi="宋体" w:eastAsia="宋体" w:cs="宋体"/>
                <w:color w:val="000000"/>
                <w:sz w:val="20"/>
                <w:szCs w:val="20"/>
              </w:rPr>
              <w:t>政府集中采购</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48</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823.09万元</w:t>
            </w:r>
          </w:p>
        </w:tc>
      </w:tr>
    </w:tbl>
    <w:p>
      <w:pPr>
        <w:pStyle w:val="11"/>
        <w:rPr>
          <w:rFonts w:ascii="仿宋" w:hAnsi="仿宋" w:eastAsia="仿宋"/>
          <w:sz w:val="32"/>
          <w:szCs w:val="32"/>
        </w:rPr>
      </w:pPr>
    </w:p>
    <w:p>
      <w:pPr>
        <w:widowControl/>
        <w:spacing w:line="465" w:lineRule="atLeast"/>
        <w:ind w:firstLine="702" w:firstLineChars="250"/>
        <w:rPr>
          <w:rFonts w:ascii="仿宋" w:hAnsi="仿宋" w:eastAsia="仿宋"/>
          <w:b/>
          <w:sz w:val="32"/>
          <w:szCs w:val="32"/>
        </w:rPr>
      </w:pPr>
      <w:r>
        <w:rPr>
          <w:rFonts w:hint="eastAsia" w:ascii="黑体" w:hAnsi="黑体" w:eastAsia="黑体" w:cs="宋体"/>
          <w:b/>
          <w:kern w:val="0"/>
          <w:sz w:val="28"/>
          <w:szCs w:val="28"/>
        </w:rPr>
        <w:t>三、收到和处理依申请公开政府信息情况</w:t>
      </w:r>
    </w:p>
    <w:tbl>
      <w:tblPr>
        <w:tblStyle w:val="6"/>
        <w:tblW w:w="9071" w:type="dxa"/>
        <w:jc w:val="center"/>
        <w:tblLayout w:type="fixed"/>
        <w:tblCellMar>
          <w:top w:w="15" w:type="dxa"/>
          <w:left w:w="15" w:type="dxa"/>
          <w:bottom w:w="15" w:type="dxa"/>
          <w:right w:w="15" w:type="dxa"/>
        </w:tblCellMar>
      </w:tblPr>
      <w:tblGrid>
        <w:gridCol w:w="617"/>
        <w:gridCol w:w="854"/>
        <w:gridCol w:w="2086"/>
        <w:gridCol w:w="813"/>
        <w:gridCol w:w="755"/>
        <w:gridCol w:w="755"/>
        <w:gridCol w:w="813"/>
        <w:gridCol w:w="973"/>
        <w:gridCol w:w="711"/>
        <w:gridCol w:w="694"/>
      </w:tblGrid>
      <w:tr>
        <w:tblPrEx>
          <w:tblCellMar>
            <w:top w:w="15" w:type="dxa"/>
            <w:left w:w="15" w:type="dxa"/>
            <w:bottom w:w="15" w:type="dxa"/>
            <w:right w:w="15"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申请人情况</w:t>
            </w:r>
          </w:p>
        </w:tc>
      </w:tr>
      <w:tr>
        <w:tblPrEx>
          <w:tblCellMar>
            <w:top w:w="15" w:type="dxa"/>
            <w:left w:w="15" w:type="dxa"/>
            <w:bottom w:w="15" w:type="dxa"/>
            <w:right w:w="15"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宋体"/>
                <w:color w:val="000000"/>
                <w:sz w:val="24"/>
                <w:szCs w:val="24"/>
              </w:rPr>
            </w:pPr>
          </w:p>
        </w:tc>
        <w:tc>
          <w:tcPr>
            <w:tcW w:w="813"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自然人</w:t>
            </w:r>
          </w:p>
        </w:tc>
        <w:tc>
          <w:tcPr>
            <w:tcW w:w="400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法人或其他组织</w:t>
            </w:r>
          </w:p>
        </w:tc>
        <w:tc>
          <w:tcPr>
            <w:tcW w:w="69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总计</w:t>
            </w:r>
          </w:p>
        </w:tc>
      </w:tr>
      <w:tr>
        <w:tblPrEx>
          <w:tblCellMar>
            <w:top w:w="15" w:type="dxa"/>
            <w:left w:w="15" w:type="dxa"/>
            <w:bottom w:w="15" w:type="dxa"/>
            <w:right w:w="15"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宋体"/>
                <w:color w:val="000000"/>
                <w:sz w:val="24"/>
                <w:szCs w:val="24"/>
              </w:rPr>
            </w:pPr>
          </w:p>
        </w:tc>
        <w:tc>
          <w:tcPr>
            <w:tcW w:w="813" w:type="dxa"/>
            <w:vMerge w:val="continue"/>
            <w:tcBorders>
              <w:top w:val="nil"/>
              <w:left w:val="nil"/>
              <w:bottom w:val="single" w:color="auto" w:sz="8" w:space="0"/>
              <w:right w:val="single" w:color="auto" w:sz="8" w:space="0"/>
            </w:tcBorders>
            <w:vAlign w:val="center"/>
          </w:tcPr>
          <w:p>
            <w:pPr>
              <w:rPr>
                <w:rFonts w:ascii="宋体" w:hAnsi="宋体" w:eastAsia="宋体" w:cs="宋体"/>
                <w:color w:val="000000"/>
                <w:sz w:val="24"/>
                <w:szCs w:val="24"/>
              </w:rPr>
            </w:pP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商业企业</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科研机构</w:t>
            </w:r>
          </w:p>
        </w:tc>
        <w:tc>
          <w:tcPr>
            <w:tcW w:w="813"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社会公益组织</w:t>
            </w:r>
          </w:p>
        </w:tc>
        <w:tc>
          <w:tcPr>
            <w:tcW w:w="973"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法律服务机构</w:t>
            </w:r>
          </w:p>
        </w:tc>
        <w:tc>
          <w:tcPr>
            <w:tcW w:w="711"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rPr>
                <w:rFonts w:ascii="宋体" w:hAnsi="宋体" w:eastAsia="宋体" w:cs="宋体"/>
                <w:color w:val="000000"/>
                <w:sz w:val="24"/>
                <w:szCs w:val="24"/>
              </w:rPr>
            </w:pPr>
          </w:p>
        </w:tc>
      </w:tr>
      <w:tr>
        <w:tblPrEx>
          <w:tblCellMar>
            <w:top w:w="15" w:type="dxa"/>
            <w:left w:w="15" w:type="dxa"/>
            <w:bottom w:w="15" w:type="dxa"/>
            <w:right w:w="15" w:type="dxa"/>
          </w:tblCellMar>
        </w:tblPrEx>
        <w:trPr>
          <w:jc w:val="center"/>
        </w:trPr>
        <w:tc>
          <w:tcPr>
            <w:tcW w:w="3557"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宋体" w:hAnsi="宋体" w:eastAsia="宋体" w:cs="宋体"/>
                <w:color w:val="000000"/>
                <w:sz w:val="20"/>
                <w:szCs w:val="20"/>
              </w:rPr>
              <w:t>一、本年新收政府信息公开申请数量</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29</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29</w:t>
            </w:r>
          </w:p>
        </w:tc>
      </w:tr>
      <w:tr>
        <w:tblPrEx>
          <w:tblCellMar>
            <w:top w:w="15" w:type="dxa"/>
            <w:left w:w="15" w:type="dxa"/>
            <w:bottom w:w="15" w:type="dxa"/>
            <w:right w:w="15" w:type="dxa"/>
          </w:tblCellMar>
        </w:tblPrEx>
        <w:trPr>
          <w:jc w:val="center"/>
        </w:trPr>
        <w:tc>
          <w:tcPr>
            <w:tcW w:w="3557"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宋体" w:hAnsi="宋体" w:eastAsia="宋体" w:cs="宋体"/>
                <w:color w:val="000000"/>
                <w:sz w:val="20"/>
                <w:szCs w:val="20"/>
              </w:rPr>
              <w:t>二、上年结转政府信息公开申请数量</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r>
      <w:tr>
        <w:tblPrEx>
          <w:tblCellMar>
            <w:top w:w="15" w:type="dxa"/>
            <w:left w:w="15" w:type="dxa"/>
            <w:bottom w:w="15" w:type="dxa"/>
            <w:right w:w="15" w:type="dxa"/>
          </w:tblCellMar>
        </w:tblPrEx>
        <w:trPr>
          <w:jc w:val="center"/>
        </w:trPr>
        <w:tc>
          <w:tcPr>
            <w:tcW w:w="617"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三、本年度办理结果</w:t>
            </w: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楷体" w:hAnsi="楷体" w:eastAsia="楷体" w:cs="宋体"/>
                <w:color w:val="000000"/>
                <w:sz w:val="20"/>
                <w:szCs w:val="20"/>
              </w:rPr>
              <w:t>（一）予以公开</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17</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694"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17</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color w:val="000000"/>
                <w:sz w:val="24"/>
                <w:szCs w:val="24"/>
              </w:rPr>
            </w:pP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楷体" w:hAnsi="楷体" w:eastAsia="楷体" w:cs="宋体"/>
                <w:color w:val="000000"/>
                <w:sz w:val="20"/>
                <w:szCs w:val="20"/>
              </w:rPr>
              <w:t>（二）部分公开（区分处理的，只计这一情形，不计其他情形）</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color w:val="000000"/>
                <w:sz w:val="24"/>
                <w:szCs w:val="24"/>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楷体" w:hAnsi="楷体" w:eastAsia="楷体" w:cs="宋体"/>
                <w:color w:val="000000"/>
                <w:sz w:val="20"/>
                <w:szCs w:val="20"/>
              </w:rPr>
              <w:t>（三）不予公开</w:t>
            </w: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楷体" w:hAnsi="楷体" w:eastAsia="楷体" w:cs="宋体"/>
                <w:color w:val="000000"/>
                <w:sz w:val="20"/>
                <w:szCs w:val="20"/>
              </w:rPr>
              <w:t>1.属于国家秘密</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694"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color w:val="000000"/>
                <w:sz w:val="24"/>
                <w:szCs w:val="24"/>
              </w:rPr>
            </w:pPr>
          </w:p>
        </w:tc>
        <w:tc>
          <w:tcPr>
            <w:tcW w:w="854" w:type="dxa"/>
            <w:vMerge w:val="continue"/>
            <w:tcBorders>
              <w:top w:val="nil"/>
              <w:left w:val="nil"/>
              <w:bottom w:val="single" w:color="auto" w:sz="8" w:space="0"/>
              <w:right w:val="single" w:color="auto" w:sz="8" w:space="0"/>
            </w:tcBorders>
            <w:vAlign w:val="center"/>
          </w:tcPr>
          <w:p>
            <w:pPr>
              <w:rPr>
                <w:rFonts w:ascii="宋体" w:hAnsi="宋体" w:eastAsia="宋体" w:cs="宋体"/>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楷体" w:hAnsi="楷体" w:eastAsia="楷体" w:cs="宋体"/>
                <w:color w:val="000000"/>
                <w:sz w:val="20"/>
                <w:szCs w:val="20"/>
              </w:rPr>
              <w:t>2.其他法律行政法规禁止公开</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color w:val="000000"/>
                <w:sz w:val="24"/>
                <w:szCs w:val="24"/>
              </w:rPr>
            </w:pPr>
          </w:p>
        </w:tc>
        <w:tc>
          <w:tcPr>
            <w:tcW w:w="854" w:type="dxa"/>
            <w:vMerge w:val="continue"/>
            <w:tcBorders>
              <w:top w:val="nil"/>
              <w:left w:val="nil"/>
              <w:bottom w:val="single" w:color="auto" w:sz="8" w:space="0"/>
              <w:right w:val="single" w:color="auto" w:sz="8" w:space="0"/>
            </w:tcBorders>
            <w:vAlign w:val="center"/>
          </w:tcPr>
          <w:p>
            <w:pPr>
              <w:rPr>
                <w:rFonts w:ascii="宋体" w:hAnsi="宋体" w:eastAsia="宋体" w:cs="宋体"/>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楷体" w:hAnsi="楷体" w:eastAsia="楷体" w:cs="宋体"/>
                <w:color w:val="000000"/>
                <w:sz w:val="20"/>
                <w:szCs w:val="20"/>
              </w:rPr>
              <w:t>3.危及“三安全一稳定”</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color w:val="000000"/>
                <w:sz w:val="24"/>
                <w:szCs w:val="24"/>
              </w:rPr>
            </w:pPr>
          </w:p>
        </w:tc>
        <w:tc>
          <w:tcPr>
            <w:tcW w:w="854" w:type="dxa"/>
            <w:vMerge w:val="continue"/>
            <w:tcBorders>
              <w:top w:val="nil"/>
              <w:left w:val="nil"/>
              <w:bottom w:val="single" w:color="auto" w:sz="8" w:space="0"/>
              <w:right w:val="single" w:color="auto" w:sz="8" w:space="0"/>
            </w:tcBorders>
            <w:vAlign w:val="center"/>
          </w:tcPr>
          <w:p>
            <w:pPr>
              <w:rPr>
                <w:rFonts w:ascii="宋体" w:hAnsi="宋体" w:eastAsia="宋体" w:cs="宋体"/>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楷体" w:hAnsi="楷体" w:eastAsia="楷体" w:cs="宋体"/>
                <w:color w:val="000000"/>
                <w:sz w:val="20"/>
                <w:szCs w:val="20"/>
              </w:rPr>
              <w:t>4.保护第三方合法权益</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color w:val="000000"/>
                <w:sz w:val="24"/>
                <w:szCs w:val="24"/>
              </w:rPr>
            </w:pPr>
          </w:p>
        </w:tc>
        <w:tc>
          <w:tcPr>
            <w:tcW w:w="854" w:type="dxa"/>
            <w:vMerge w:val="continue"/>
            <w:tcBorders>
              <w:top w:val="nil"/>
              <w:left w:val="nil"/>
              <w:bottom w:val="single" w:color="auto" w:sz="8" w:space="0"/>
              <w:right w:val="single" w:color="auto" w:sz="8" w:space="0"/>
            </w:tcBorders>
            <w:vAlign w:val="center"/>
          </w:tcPr>
          <w:p>
            <w:pPr>
              <w:rPr>
                <w:rFonts w:ascii="宋体" w:hAnsi="宋体" w:eastAsia="宋体" w:cs="宋体"/>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楷体" w:hAnsi="楷体" w:eastAsia="楷体" w:cs="宋体"/>
                <w:color w:val="000000"/>
                <w:sz w:val="20"/>
                <w:szCs w:val="20"/>
              </w:rPr>
              <w:t>5.属于三类内部事务信息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color w:val="000000"/>
                <w:sz w:val="24"/>
                <w:szCs w:val="24"/>
              </w:rPr>
            </w:pPr>
          </w:p>
        </w:tc>
        <w:tc>
          <w:tcPr>
            <w:tcW w:w="854" w:type="dxa"/>
            <w:vMerge w:val="continue"/>
            <w:tcBorders>
              <w:top w:val="nil"/>
              <w:left w:val="nil"/>
              <w:bottom w:val="single" w:color="auto" w:sz="8" w:space="0"/>
              <w:right w:val="single" w:color="auto" w:sz="8" w:space="0"/>
            </w:tcBorders>
            <w:vAlign w:val="center"/>
          </w:tcPr>
          <w:p>
            <w:pPr>
              <w:rPr>
                <w:rFonts w:ascii="宋体" w:hAnsi="宋体" w:eastAsia="宋体" w:cs="宋体"/>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楷体" w:hAnsi="楷体" w:eastAsia="楷体" w:cs="宋体"/>
                <w:color w:val="000000"/>
                <w:sz w:val="20"/>
                <w:szCs w:val="20"/>
              </w:rPr>
              <w:t>6.属于四类过程性信息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color w:val="000000"/>
                <w:sz w:val="24"/>
                <w:szCs w:val="24"/>
              </w:rPr>
            </w:pPr>
          </w:p>
        </w:tc>
        <w:tc>
          <w:tcPr>
            <w:tcW w:w="854" w:type="dxa"/>
            <w:vMerge w:val="continue"/>
            <w:tcBorders>
              <w:top w:val="nil"/>
              <w:left w:val="nil"/>
              <w:bottom w:val="single" w:color="auto" w:sz="8" w:space="0"/>
              <w:right w:val="single" w:color="auto" w:sz="8" w:space="0"/>
            </w:tcBorders>
            <w:vAlign w:val="center"/>
          </w:tcPr>
          <w:p>
            <w:pPr>
              <w:rPr>
                <w:rFonts w:ascii="宋体" w:hAnsi="宋体" w:eastAsia="宋体" w:cs="宋体"/>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楷体" w:hAnsi="楷体" w:eastAsia="楷体" w:cs="宋体"/>
                <w:color w:val="000000"/>
                <w:sz w:val="20"/>
                <w:szCs w:val="20"/>
              </w:rPr>
              <w:t>7.属于行政执法案卷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color w:val="000000"/>
                <w:sz w:val="24"/>
                <w:szCs w:val="24"/>
              </w:rPr>
            </w:pPr>
          </w:p>
        </w:tc>
        <w:tc>
          <w:tcPr>
            <w:tcW w:w="854" w:type="dxa"/>
            <w:vMerge w:val="continue"/>
            <w:tcBorders>
              <w:top w:val="nil"/>
              <w:left w:val="nil"/>
              <w:bottom w:val="single" w:color="auto" w:sz="8" w:space="0"/>
              <w:right w:val="single" w:color="auto" w:sz="8" w:space="0"/>
            </w:tcBorders>
            <w:vAlign w:val="center"/>
          </w:tcPr>
          <w:p>
            <w:pPr>
              <w:rPr>
                <w:rFonts w:ascii="宋体" w:hAnsi="宋体" w:eastAsia="宋体" w:cs="宋体"/>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楷体" w:hAnsi="楷体" w:eastAsia="楷体" w:cs="宋体"/>
                <w:color w:val="000000"/>
                <w:sz w:val="20"/>
                <w:szCs w:val="20"/>
              </w:rPr>
              <w:t>8.属于行政查询事项</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color w:val="000000"/>
                <w:sz w:val="24"/>
                <w:szCs w:val="24"/>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楷体" w:hAnsi="楷体" w:eastAsia="楷体" w:cs="宋体"/>
                <w:color w:val="000000"/>
                <w:sz w:val="20"/>
                <w:szCs w:val="20"/>
              </w:rPr>
              <w:t>（四）无法提供</w:t>
            </w: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楷体" w:hAnsi="楷体" w:eastAsia="楷体" w:cs="宋体"/>
                <w:color w:val="000000"/>
                <w:sz w:val="20"/>
                <w:szCs w:val="20"/>
              </w:rPr>
              <w:t>1.本机关不掌握相关政府信息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11</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11</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color w:val="000000"/>
                <w:sz w:val="24"/>
                <w:szCs w:val="24"/>
              </w:rPr>
            </w:pPr>
          </w:p>
        </w:tc>
        <w:tc>
          <w:tcPr>
            <w:tcW w:w="854" w:type="dxa"/>
            <w:vMerge w:val="continue"/>
            <w:tcBorders>
              <w:top w:val="nil"/>
              <w:left w:val="nil"/>
              <w:bottom w:val="single" w:color="auto" w:sz="8" w:space="0"/>
              <w:right w:val="single" w:color="auto" w:sz="8" w:space="0"/>
            </w:tcBorders>
            <w:vAlign w:val="center"/>
          </w:tcPr>
          <w:p>
            <w:pPr>
              <w:rPr>
                <w:rFonts w:ascii="宋体" w:hAnsi="宋体" w:eastAsia="宋体" w:cs="宋体"/>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楷体" w:hAnsi="楷体" w:eastAsia="楷体" w:cs="宋体"/>
                <w:color w:val="000000"/>
                <w:sz w:val="20"/>
                <w:szCs w:val="20"/>
              </w:rPr>
              <w:t>2.没有现成信息需要另行制作</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color w:val="000000"/>
                <w:sz w:val="24"/>
                <w:szCs w:val="24"/>
              </w:rPr>
            </w:pPr>
          </w:p>
        </w:tc>
        <w:tc>
          <w:tcPr>
            <w:tcW w:w="854" w:type="dxa"/>
            <w:vMerge w:val="continue"/>
            <w:tcBorders>
              <w:top w:val="nil"/>
              <w:left w:val="nil"/>
              <w:bottom w:val="single" w:color="auto" w:sz="8" w:space="0"/>
              <w:right w:val="single" w:color="auto" w:sz="8" w:space="0"/>
            </w:tcBorders>
            <w:vAlign w:val="center"/>
          </w:tcPr>
          <w:p>
            <w:pPr>
              <w:rPr>
                <w:rFonts w:ascii="宋体" w:hAnsi="宋体" w:eastAsia="宋体" w:cs="宋体"/>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楷体" w:hAnsi="楷体" w:eastAsia="楷体" w:cs="宋体"/>
                <w:color w:val="000000"/>
                <w:sz w:val="20"/>
                <w:szCs w:val="20"/>
              </w:rPr>
              <w:t>3.补正后申请内容仍不明确</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color w:val="000000"/>
                <w:sz w:val="24"/>
                <w:szCs w:val="24"/>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楷体" w:hAnsi="楷体" w:eastAsia="楷体" w:cs="宋体"/>
                <w:color w:val="000000"/>
                <w:sz w:val="20"/>
                <w:szCs w:val="20"/>
              </w:rPr>
              <w:t>（五）不予处理</w:t>
            </w: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楷体" w:hAnsi="楷体" w:eastAsia="楷体" w:cs="宋体"/>
                <w:color w:val="000000"/>
                <w:sz w:val="20"/>
                <w:szCs w:val="20"/>
              </w:rPr>
              <w:t>1.信访举报投诉类申请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color w:val="000000"/>
                <w:sz w:val="24"/>
                <w:szCs w:val="24"/>
              </w:rPr>
            </w:pPr>
          </w:p>
        </w:tc>
        <w:tc>
          <w:tcPr>
            <w:tcW w:w="854" w:type="dxa"/>
            <w:vMerge w:val="continue"/>
            <w:tcBorders>
              <w:top w:val="nil"/>
              <w:left w:val="nil"/>
              <w:bottom w:val="single" w:color="auto" w:sz="8" w:space="0"/>
              <w:right w:val="single" w:color="auto" w:sz="8" w:space="0"/>
            </w:tcBorders>
            <w:vAlign w:val="center"/>
          </w:tcPr>
          <w:p>
            <w:pPr>
              <w:rPr>
                <w:rFonts w:ascii="宋体" w:hAnsi="宋体" w:eastAsia="宋体" w:cs="宋体"/>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楷体" w:hAnsi="楷体" w:eastAsia="楷体" w:cs="宋体"/>
                <w:color w:val="000000"/>
                <w:sz w:val="20"/>
                <w:szCs w:val="20"/>
              </w:rPr>
              <w:t>2.重复申请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color w:val="000000"/>
                <w:sz w:val="24"/>
                <w:szCs w:val="24"/>
              </w:rPr>
            </w:pPr>
          </w:p>
        </w:tc>
        <w:tc>
          <w:tcPr>
            <w:tcW w:w="854" w:type="dxa"/>
            <w:vMerge w:val="continue"/>
            <w:tcBorders>
              <w:top w:val="nil"/>
              <w:left w:val="nil"/>
              <w:bottom w:val="single" w:color="auto" w:sz="8" w:space="0"/>
              <w:right w:val="single" w:color="auto" w:sz="8" w:space="0"/>
            </w:tcBorders>
            <w:vAlign w:val="center"/>
          </w:tcPr>
          <w:p>
            <w:pPr>
              <w:rPr>
                <w:rFonts w:ascii="宋体" w:hAnsi="宋体" w:eastAsia="宋体" w:cs="宋体"/>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楷体" w:hAnsi="楷体" w:eastAsia="楷体" w:cs="宋体"/>
                <w:color w:val="000000"/>
                <w:sz w:val="20"/>
                <w:szCs w:val="20"/>
              </w:rPr>
              <w:t>3.要求提供公开出版物</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r>
      <w:tr>
        <w:trPr>
          <w:jc w:val="center"/>
        </w:trPr>
        <w:tc>
          <w:tcPr>
            <w:tcW w:w="617"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color w:val="000000"/>
                <w:sz w:val="24"/>
                <w:szCs w:val="24"/>
              </w:rPr>
            </w:pPr>
          </w:p>
        </w:tc>
        <w:tc>
          <w:tcPr>
            <w:tcW w:w="854" w:type="dxa"/>
            <w:vMerge w:val="continue"/>
            <w:tcBorders>
              <w:top w:val="nil"/>
              <w:left w:val="nil"/>
              <w:bottom w:val="single" w:color="auto" w:sz="8" w:space="0"/>
              <w:right w:val="single" w:color="auto" w:sz="8" w:space="0"/>
            </w:tcBorders>
            <w:vAlign w:val="center"/>
          </w:tcPr>
          <w:p>
            <w:pPr>
              <w:rPr>
                <w:rFonts w:ascii="宋体" w:hAnsi="宋体" w:eastAsia="宋体" w:cs="宋体"/>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楷体" w:hAnsi="楷体" w:eastAsia="楷体" w:cs="宋体"/>
                <w:color w:val="000000"/>
                <w:sz w:val="20"/>
                <w:szCs w:val="20"/>
              </w:rPr>
              <w:t>4.无正当理由大量反复申请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color w:val="000000"/>
                <w:sz w:val="24"/>
                <w:szCs w:val="24"/>
              </w:rPr>
            </w:pPr>
          </w:p>
        </w:tc>
        <w:tc>
          <w:tcPr>
            <w:tcW w:w="854" w:type="dxa"/>
            <w:vMerge w:val="continue"/>
            <w:tcBorders>
              <w:top w:val="nil"/>
              <w:left w:val="nil"/>
              <w:bottom w:val="single" w:color="auto" w:sz="8" w:space="0"/>
              <w:right w:val="single" w:color="auto" w:sz="8" w:space="0"/>
            </w:tcBorders>
            <w:vAlign w:val="center"/>
          </w:tcPr>
          <w:p>
            <w:pPr>
              <w:rPr>
                <w:rFonts w:ascii="宋体" w:hAnsi="宋体" w:eastAsia="宋体" w:cs="宋体"/>
                <w:color w:val="00000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楷体" w:hAnsi="楷体" w:eastAsia="楷体" w:cs="宋体"/>
                <w:color w:val="000000"/>
                <w:sz w:val="20"/>
                <w:szCs w:val="20"/>
              </w:rPr>
              <w:t>5.要求行政机关确认或重新出具已获取信息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color w:val="000000"/>
                <w:sz w:val="24"/>
                <w:szCs w:val="24"/>
              </w:rPr>
            </w:pP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楷体" w:hAnsi="楷体" w:eastAsia="楷体" w:cs="宋体"/>
                <w:color w:val="000000"/>
                <w:sz w:val="20"/>
                <w:szCs w:val="20"/>
              </w:rPr>
              <w:t>（六）其他处理</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1</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1</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color w:val="000000"/>
                <w:sz w:val="24"/>
                <w:szCs w:val="24"/>
              </w:rPr>
            </w:pP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楷体" w:hAnsi="楷体" w:eastAsia="楷体" w:cs="宋体"/>
                <w:color w:val="000000"/>
                <w:sz w:val="20"/>
                <w:szCs w:val="20"/>
              </w:rPr>
              <w:t>（七）总计</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29</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29</w:t>
            </w:r>
          </w:p>
        </w:tc>
      </w:tr>
      <w:tr>
        <w:trPr>
          <w:jc w:val="center"/>
        </w:trPr>
        <w:tc>
          <w:tcPr>
            <w:tcW w:w="3557"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color w:val="000000"/>
                <w:sz w:val="24"/>
                <w:szCs w:val="24"/>
              </w:rPr>
            </w:pPr>
            <w:r>
              <w:rPr>
                <w:rFonts w:hint="eastAsia" w:ascii="宋体" w:hAnsi="宋体" w:eastAsia="宋体" w:cs="宋体"/>
                <w:color w:val="000000"/>
                <w:sz w:val="20"/>
                <w:szCs w:val="20"/>
              </w:rPr>
              <w:t>四、结转下年度继续办理</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ascii="Calibri" w:hAnsi="Calibri" w:eastAsia="宋体" w:cs="宋体"/>
                <w:color w:val="000000"/>
                <w:sz w:val="20"/>
                <w:szCs w:val="20"/>
              </w:rPr>
              <w:t> </w:t>
            </w:r>
            <w:r>
              <w:rPr>
                <w:rFonts w:hint="eastAsia" w:ascii="Calibri" w:hAnsi="Calibri" w:eastAsia="宋体" w:cs="宋体"/>
                <w:color w:val="00000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r>
              <w:rPr>
                <w:rFonts w:ascii="Calibri" w:hAnsi="Calibri" w:eastAsia="宋体" w:cs="宋体"/>
                <w:color w:val="000000"/>
                <w:sz w:val="20"/>
                <w:szCs w:val="20"/>
              </w:rPr>
              <w:t> </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Calibri" w:hAnsi="Calibri" w:eastAsia="宋体" w:cs="宋体"/>
                <w:color w:val="000000"/>
                <w:sz w:val="20"/>
                <w:szCs w:val="20"/>
              </w:rPr>
              <w:t>0</w:t>
            </w:r>
          </w:p>
        </w:tc>
      </w:tr>
    </w:tbl>
    <w:p>
      <w:pPr>
        <w:pStyle w:val="5"/>
        <w:spacing w:before="0" w:beforeAutospacing="0" w:after="0" w:afterAutospacing="0"/>
        <w:rPr>
          <w:rFonts w:ascii="仿宋" w:hAnsi="仿宋" w:eastAsia="仿宋"/>
          <w:sz w:val="32"/>
          <w:szCs w:val="32"/>
        </w:rPr>
      </w:pPr>
    </w:p>
    <w:p>
      <w:pPr>
        <w:pStyle w:val="5"/>
        <w:spacing w:before="0" w:beforeAutospacing="0" w:after="0" w:afterAutospacing="0"/>
        <w:ind w:firstLine="702" w:firstLineChars="250"/>
        <w:rPr>
          <w:rFonts w:ascii="黑体" w:hAnsi="黑体" w:eastAsia="黑体"/>
          <w:b/>
          <w:sz w:val="28"/>
          <w:szCs w:val="28"/>
        </w:rPr>
      </w:pPr>
      <w:r>
        <w:rPr>
          <w:rFonts w:hint="eastAsia" w:ascii="黑体" w:hAnsi="黑体" w:eastAsia="黑体"/>
          <w:b/>
          <w:sz w:val="28"/>
          <w:szCs w:val="28"/>
        </w:rPr>
        <w:t>四、因政府信息公开工作被申请行政复议提</w:t>
      </w:r>
      <w:r>
        <w:rPr>
          <w:rFonts w:hint="eastAsia" w:ascii="黑体" w:hAnsi="黑体" w:eastAsia="黑体"/>
          <w:b/>
          <w:sz w:val="28"/>
          <w:szCs w:val="28"/>
          <w:lang w:eastAsia="zh-CN"/>
        </w:rPr>
        <w:t>起</w:t>
      </w:r>
      <w:bookmarkStart w:id="0" w:name="_GoBack"/>
      <w:bookmarkEnd w:id="0"/>
      <w:r>
        <w:rPr>
          <w:rFonts w:hint="eastAsia" w:ascii="黑体" w:hAnsi="黑体" w:eastAsia="黑体"/>
          <w:b/>
          <w:sz w:val="28"/>
          <w:szCs w:val="28"/>
        </w:rPr>
        <w:t>行政诉讼情况</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我委2020年没有收到因政府信息公开工作被申请行政复议提</w:t>
      </w:r>
      <w:r>
        <w:rPr>
          <w:rFonts w:hint="eastAsia" w:ascii="仿宋" w:hAnsi="仿宋" w:eastAsia="仿宋" w:cs="宋体"/>
          <w:kern w:val="0"/>
          <w:sz w:val="32"/>
          <w:szCs w:val="32"/>
          <w:lang w:eastAsia="zh-CN"/>
        </w:rPr>
        <w:t>起</w:t>
      </w:r>
      <w:r>
        <w:rPr>
          <w:rFonts w:hint="eastAsia" w:ascii="仿宋" w:hAnsi="仿宋" w:eastAsia="仿宋" w:cs="宋体"/>
          <w:kern w:val="0"/>
          <w:sz w:val="32"/>
          <w:szCs w:val="32"/>
        </w:rPr>
        <w:t>行政诉讼情况。</w:t>
      </w:r>
    </w:p>
    <w:p>
      <w:pPr>
        <w:ind w:firstLine="640" w:firstLineChars="200"/>
        <w:rPr>
          <w:rFonts w:ascii="仿宋" w:hAnsi="仿宋" w:eastAsia="仿宋" w:cs="宋体"/>
          <w:kern w:val="0"/>
          <w:sz w:val="32"/>
          <w:szCs w:val="32"/>
        </w:rPr>
      </w:pPr>
    </w:p>
    <w:tbl>
      <w:tblPr>
        <w:tblStyle w:val="6"/>
        <w:tblW w:w="9071" w:type="dxa"/>
        <w:jc w:val="center"/>
        <w:tblLayout w:type="fixed"/>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行政诉讼</w:t>
            </w:r>
          </w:p>
        </w:tc>
      </w:tr>
      <w:tr>
        <w:tblPrEx>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结果维持</w:t>
            </w:r>
          </w:p>
        </w:tc>
        <w:tc>
          <w:tcPr>
            <w:tcW w:w="60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复议后起诉</w:t>
            </w:r>
          </w:p>
        </w:tc>
      </w:tr>
      <w:tr>
        <w:tblPrEx>
          <w:tblCellMar>
            <w:top w:w="15" w:type="dxa"/>
            <w:left w:w="15" w:type="dxa"/>
            <w:bottom w:w="15" w:type="dxa"/>
            <w:right w:w="15"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color w:val="000000"/>
                <w:sz w:val="24"/>
                <w:szCs w:val="24"/>
              </w:rPr>
            </w:pPr>
          </w:p>
        </w:tc>
        <w:tc>
          <w:tcPr>
            <w:tcW w:w="604" w:type="dxa"/>
            <w:vMerge w:val="continue"/>
            <w:tcBorders>
              <w:top w:val="nil"/>
              <w:left w:val="nil"/>
              <w:bottom w:val="single" w:color="auto" w:sz="8" w:space="0"/>
              <w:right w:val="single" w:color="auto" w:sz="8" w:space="0"/>
            </w:tcBorders>
            <w:vAlign w:val="center"/>
          </w:tcPr>
          <w:p>
            <w:pPr>
              <w:rPr>
                <w:rFonts w:ascii="宋体" w:hAnsi="宋体" w:eastAsia="宋体" w:cs="宋体"/>
                <w:color w:val="00000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rPr>
                <w:rFonts w:ascii="宋体" w:hAnsi="宋体" w:eastAsia="宋体" w:cs="宋体"/>
                <w:color w:val="00000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rPr>
                <w:rFonts w:ascii="宋体" w:hAnsi="宋体" w:eastAsia="宋体" w:cs="宋体"/>
                <w:color w:val="00000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rPr>
                <w:rFonts w:ascii="宋体" w:hAnsi="宋体" w:eastAsia="宋体" w:cs="宋体"/>
                <w:color w:val="000000"/>
                <w:sz w:val="24"/>
                <w:szCs w:val="24"/>
              </w:rPr>
            </w:pP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结果维持</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总计</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0"/>
                <w:szCs w:val="20"/>
              </w:rPr>
              <w:t>总计</w:t>
            </w:r>
          </w:p>
        </w:tc>
      </w:tr>
      <w:tr>
        <w:tblPrEx>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Calibri" w:hAnsi="Calibri" w:eastAsia="宋体" w:cs="宋体"/>
                <w:color w:val="000000"/>
                <w:sz w:val="20"/>
                <w:szCs w:val="20"/>
              </w:rPr>
            </w:pPr>
            <w:r>
              <w:rPr>
                <w:rFonts w:hint="eastAsia" w:ascii="Calibri" w:hAnsi="Calibri" w:eastAsia="宋体" w:cs="宋体"/>
                <w:color w:val="000000"/>
                <w:sz w:val="20"/>
                <w:szCs w:val="20"/>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Calibri" w:hAnsi="Calibri" w:eastAsia="宋体" w:cs="宋体"/>
                <w:color w:val="000000"/>
                <w:sz w:val="20"/>
                <w:szCs w:val="20"/>
              </w:rPr>
            </w:pPr>
            <w:r>
              <w:rPr>
                <w:rFonts w:hint="eastAsia" w:ascii="Calibri" w:hAnsi="Calibri" w:eastAsia="宋体" w:cs="宋体"/>
                <w:color w:val="000000"/>
                <w:sz w:val="20"/>
                <w:szCs w:val="20"/>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Calibri" w:hAnsi="Calibri" w:eastAsia="宋体" w:cs="宋体"/>
                <w:color w:val="000000"/>
                <w:sz w:val="20"/>
                <w:szCs w:val="20"/>
              </w:rPr>
            </w:pPr>
            <w:r>
              <w:rPr>
                <w:rFonts w:hint="eastAsia" w:ascii="Calibri" w:hAnsi="Calibri" w:eastAsia="宋体" w:cs="宋体"/>
                <w:color w:val="000000"/>
                <w:sz w:val="20"/>
                <w:szCs w:val="20"/>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Calibri" w:hAnsi="Calibri" w:eastAsia="宋体" w:cs="宋体"/>
                <w:color w:val="000000"/>
                <w:sz w:val="20"/>
                <w:szCs w:val="20"/>
              </w:rPr>
            </w:pPr>
            <w:r>
              <w:rPr>
                <w:rFonts w:hint="eastAsia" w:ascii="Calibri" w:hAnsi="Calibri" w:eastAsia="宋体" w:cs="宋体"/>
                <w:color w:val="000000"/>
                <w:sz w:val="20"/>
                <w:szCs w:val="20"/>
              </w:rPr>
              <w:t>0</w:t>
            </w:r>
          </w:p>
        </w:tc>
        <w:tc>
          <w:tcPr>
            <w:tcW w:w="65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Calibri" w:hAnsi="Calibri" w:eastAsia="宋体" w:cs="宋体"/>
                <w:color w:val="000000"/>
                <w:sz w:val="20"/>
                <w:szCs w:val="20"/>
              </w:rPr>
            </w:pPr>
            <w:r>
              <w:rPr>
                <w:rFonts w:hint="eastAsia" w:ascii="Calibri" w:hAnsi="Calibri" w:eastAsia="宋体" w:cs="宋体"/>
                <w:color w:val="000000"/>
                <w:sz w:val="20"/>
                <w:szCs w:val="20"/>
              </w:rPr>
              <w:t>0</w:t>
            </w: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Calibri" w:hAnsi="Calibri" w:eastAsia="宋体" w:cs="宋体"/>
                <w:color w:val="000000"/>
                <w:sz w:val="20"/>
                <w:szCs w:val="20"/>
              </w:rPr>
            </w:pPr>
            <w:r>
              <w:rPr>
                <w:rFonts w:hint="eastAsia" w:ascii="Calibri" w:hAnsi="Calibri" w:eastAsia="宋体" w:cs="宋体"/>
                <w:color w:val="00000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Calibri" w:hAnsi="Calibri" w:eastAsia="宋体" w:cs="宋体"/>
                <w:color w:val="000000"/>
                <w:sz w:val="20"/>
                <w:szCs w:val="20"/>
              </w:rPr>
            </w:pPr>
            <w:r>
              <w:rPr>
                <w:rFonts w:hint="eastAsia" w:ascii="Calibri" w:hAnsi="Calibri" w:eastAsia="宋体" w:cs="宋体"/>
                <w:color w:val="00000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Calibri" w:hAnsi="Calibri" w:eastAsia="宋体" w:cs="宋体"/>
                <w:color w:val="000000"/>
                <w:sz w:val="20"/>
                <w:szCs w:val="20"/>
              </w:rPr>
            </w:pPr>
            <w:r>
              <w:rPr>
                <w:rFonts w:hint="eastAsia" w:ascii="Calibri" w:hAnsi="Calibri" w:eastAsia="宋体" w:cs="宋体"/>
                <w:color w:val="00000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Calibri" w:hAnsi="Calibri" w:eastAsia="宋体" w:cs="宋体"/>
                <w:color w:val="000000"/>
                <w:sz w:val="20"/>
                <w:szCs w:val="20"/>
              </w:rPr>
            </w:pPr>
            <w:r>
              <w:rPr>
                <w:rFonts w:hint="eastAsia" w:ascii="Calibri" w:hAnsi="Calibri" w:eastAsia="宋体" w:cs="宋体"/>
                <w:color w:val="00000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Calibri" w:hAnsi="Calibri" w:eastAsia="宋体" w:cs="宋体"/>
                <w:color w:val="000000"/>
                <w:sz w:val="20"/>
                <w:szCs w:val="20"/>
              </w:rPr>
            </w:pPr>
            <w:r>
              <w:rPr>
                <w:rFonts w:hint="eastAsia" w:ascii="Calibri" w:hAnsi="Calibri" w:eastAsia="宋体" w:cs="宋体"/>
                <w:color w:val="00000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Calibri" w:hAnsi="Calibri" w:eastAsia="宋体" w:cs="宋体"/>
                <w:color w:val="000000"/>
                <w:sz w:val="20"/>
                <w:szCs w:val="20"/>
              </w:rPr>
            </w:pPr>
            <w:r>
              <w:rPr>
                <w:rFonts w:hint="eastAsia" w:ascii="Calibri" w:hAnsi="Calibri" w:eastAsia="宋体" w:cs="宋体"/>
                <w:color w:val="00000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Calibri" w:hAnsi="Calibri" w:eastAsia="宋体" w:cs="宋体"/>
                <w:color w:val="000000"/>
                <w:sz w:val="20"/>
                <w:szCs w:val="20"/>
              </w:rPr>
            </w:pPr>
            <w:r>
              <w:rPr>
                <w:rFonts w:hint="eastAsia" w:ascii="Calibri" w:hAnsi="Calibri" w:eastAsia="宋体" w:cs="宋体"/>
                <w:color w:val="00000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Calibri" w:hAnsi="Calibri" w:eastAsia="宋体" w:cs="宋体"/>
                <w:color w:val="000000"/>
                <w:sz w:val="20"/>
                <w:szCs w:val="20"/>
              </w:rPr>
            </w:pPr>
            <w:r>
              <w:rPr>
                <w:rFonts w:hint="eastAsia" w:ascii="Calibri" w:hAnsi="Calibri" w:eastAsia="宋体" w:cs="宋体"/>
                <w:color w:val="000000"/>
                <w:sz w:val="20"/>
                <w:szCs w:val="20"/>
              </w:rPr>
              <w:t>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Calibri" w:hAnsi="Calibri" w:eastAsia="宋体" w:cs="宋体"/>
                <w:color w:val="000000"/>
                <w:sz w:val="20"/>
                <w:szCs w:val="20"/>
              </w:rPr>
            </w:pPr>
            <w:r>
              <w:rPr>
                <w:rFonts w:hint="eastAsia" w:ascii="Calibri" w:hAnsi="Calibri" w:eastAsia="宋体" w:cs="宋体"/>
                <w:color w:val="000000"/>
                <w:sz w:val="20"/>
                <w:szCs w:val="20"/>
              </w:rPr>
              <w:t>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Calibri" w:hAnsi="Calibri" w:eastAsia="宋体" w:cs="宋体"/>
                <w:color w:val="000000"/>
                <w:sz w:val="20"/>
                <w:szCs w:val="20"/>
              </w:rPr>
            </w:pPr>
            <w:r>
              <w:rPr>
                <w:rFonts w:hint="eastAsia" w:ascii="Calibri" w:hAnsi="Calibri" w:eastAsia="宋体" w:cs="宋体"/>
                <w:color w:val="000000"/>
                <w:sz w:val="20"/>
                <w:szCs w:val="20"/>
              </w:rPr>
              <w:t>0</w:t>
            </w:r>
          </w:p>
        </w:tc>
      </w:tr>
    </w:tbl>
    <w:p>
      <w:pPr>
        <w:rPr>
          <w:rFonts w:ascii="仿宋" w:hAnsi="仿宋" w:eastAsia="仿宋" w:cs="宋体"/>
          <w:kern w:val="0"/>
          <w:sz w:val="32"/>
          <w:szCs w:val="32"/>
        </w:rPr>
      </w:pPr>
    </w:p>
    <w:p>
      <w:pPr>
        <w:ind w:firstLine="562" w:firstLineChars="200"/>
        <w:rPr>
          <w:rFonts w:ascii="仿宋" w:hAnsi="仿宋" w:eastAsia="仿宋" w:cs="宋体"/>
          <w:kern w:val="0"/>
          <w:sz w:val="32"/>
          <w:szCs w:val="32"/>
        </w:rPr>
      </w:pPr>
      <w:r>
        <w:rPr>
          <w:rFonts w:hint="eastAsia" w:ascii="黑体" w:hAnsi="黑体" w:eastAsia="黑体" w:cs="宋体"/>
          <w:b/>
          <w:kern w:val="0"/>
          <w:sz w:val="28"/>
          <w:szCs w:val="28"/>
        </w:rPr>
        <w:t>五、政府信息公开工作存在的问题及改进情况</w:t>
      </w:r>
    </w:p>
    <w:p>
      <w:pPr>
        <w:pStyle w:val="5"/>
        <w:spacing w:before="0" w:beforeAutospacing="0" w:after="0" w:afterAutospacing="0"/>
        <w:ind w:firstLine="600" w:firstLineChars="200"/>
        <w:jc w:val="both"/>
        <w:rPr>
          <w:rFonts w:ascii="仿宋" w:hAnsi="仿宋" w:eastAsia="仿宋" w:cstheme="minorBidi"/>
          <w:kern w:val="2"/>
          <w:sz w:val="30"/>
          <w:szCs w:val="30"/>
        </w:rPr>
      </w:pPr>
      <w:r>
        <w:rPr>
          <w:rFonts w:hint="eastAsia" w:ascii="仿宋" w:hAnsi="仿宋" w:eastAsia="仿宋" w:cstheme="minorBidi"/>
          <w:kern w:val="2"/>
          <w:sz w:val="30"/>
          <w:szCs w:val="30"/>
        </w:rPr>
        <w:t>我委政府信息公开工作虽然取得了一定的成绩,但与市政府的要求相比还存在一定差距和问题,主要表现政策解读不够全面、公开内容不够详实等问题。下一步,我们将针对上述问题,认真加以整改,不断推动政府信息公开工作进一步完善。2021年,我委将按照市政府关于加强政府信息公开的有关工作要求,结合工作实际,重点做好以下几项工作:</w:t>
      </w:r>
    </w:p>
    <w:p>
      <w:pPr>
        <w:pStyle w:val="5"/>
        <w:spacing w:before="0" w:beforeAutospacing="0" w:after="0" w:afterAutospacing="0"/>
        <w:ind w:firstLine="480"/>
        <w:jc w:val="both"/>
        <w:rPr>
          <w:rFonts w:ascii="仿宋" w:hAnsi="仿宋" w:eastAsia="仿宋" w:cstheme="minorBidi"/>
          <w:kern w:val="2"/>
          <w:sz w:val="30"/>
          <w:szCs w:val="30"/>
        </w:rPr>
      </w:pPr>
      <w:r>
        <w:rPr>
          <w:rFonts w:hint="eastAsia" w:ascii="仿宋" w:hAnsi="仿宋" w:eastAsia="仿宋" w:cstheme="minorBidi"/>
          <w:kern w:val="2"/>
          <w:sz w:val="30"/>
          <w:szCs w:val="30"/>
        </w:rPr>
        <w:t>一是做好政策解读回应工作。聚焦“六稳”、“六保”涉企收费政策落实等经济社会发展和人民群众关注关切的问题，及时做好全市重大项目、重点领域发展、重大产业政策等有关信息的发布和解读，及时准确回应市民建言和咨询答复。</w:t>
      </w:r>
    </w:p>
    <w:p>
      <w:pPr>
        <w:pStyle w:val="5"/>
        <w:spacing w:before="0" w:beforeAutospacing="0" w:after="0" w:afterAutospacing="0"/>
        <w:ind w:firstLine="480"/>
        <w:jc w:val="both"/>
        <w:rPr>
          <w:rFonts w:ascii="仿宋" w:hAnsi="仿宋" w:eastAsia="仿宋" w:cstheme="minorBidi"/>
          <w:kern w:val="2"/>
          <w:sz w:val="30"/>
          <w:szCs w:val="30"/>
        </w:rPr>
      </w:pPr>
      <w:r>
        <w:rPr>
          <w:rFonts w:hint="eastAsia" w:ascii="仿宋" w:hAnsi="仿宋" w:eastAsia="仿宋" w:cstheme="minorBidi"/>
          <w:kern w:val="2"/>
          <w:sz w:val="30"/>
          <w:szCs w:val="30"/>
        </w:rPr>
        <w:t>二是进一步加强重大建设项目领域信息公开。充分发挥重大项目信息公开牵头部门职能，督促相关部门及时公开审批信息,不断提高重大建设项目公开的针对性、时效性。</w:t>
      </w:r>
    </w:p>
    <w:p>
      <w:pPr>
        <w:ind w:firstLine="600" w:firstLineChars="200"/>
        <w:rPr>
          <w:rFonts w:ascii="仿宋" w:hAnsi="仿宋" w:eastAsia="仿宋"/>
          <w:sz w:val="30"/>
          <w:szCs w:val="30"/>
        </w:rPr>
      </w:pPr>
      <w:r>
        <w:rPr>
          <w:rFonts w:hint="eastAsia" w:ascii="仿宋" w:hAnsi="仿宋" w:eastAsia="仿宋"/>
          <w:sz w:val="30"/>
          <w:szCs w:val="30"/>
        </w:rPr>
        <w:t>三是以满足企业群众关心关注为出发点，以公开促工作，以公开树形象。加快推进政务公开工作常态化，及时、准确地公开各项政策及信息，努力保障人民群众的知情权、参与权和监督权。</w:t>
      </w:r>
    </w:p>
    <w:p>
      <w:pPr>
        <w:ind w:firstLine="562" w:firstLineChars="200"/>
        <w:rPr>
          <w:rFonts w:ascii="黑体" w:hAnsi="黑体" w:eastAsia="黑体"/>
          <w:b/>
          <w:sz w:val="28"/>
          <w:szCs w:val="28"/>
        </w:rPr>
      </w:pPr>
      <w:r>
        <w:rPr>
          <w:rFonts w:hint="eastAsia" w:ascii="黑体" w:hAnsi="黑体" w:eastAsia="黑体"/>
          <w:b/>
          <w:sz w:val="28"/>
          <w:szCs w:val="28"/>
        </w:rPr>
        <w:t>六、其他需要报告的事项</w:t>
      </w:r>
    </w:p>
    <w:p>
      <w:pPr>
        <w:overflowPunct w:val="0"/>
        <w:spacing w:line="600" w:lineRule="exact"/>
        <w:ind w:firstLine="640" w:firstLineChars="200"/>
        <w:rPr>
          <w:rFonts w:ascii="仿宋" w:hAnsi="仿宋" w:eastAsia="仿宋" w:cs="仿宋"/>
          <w:color w:val="000000"/>
          <w:sz w:val="31"/>
          <w:szCs w:val="31"/>
        </w:rPr>
      </w:pPr>
      <w:r>
        <w:rPr>
          <w:rFonts w:hint="eastAsia" w:ascii="仿宋" w:hAnsi="仿宋" w:eastAsia="仿宋"/>
          <w:color w:val="333333"/>
          <w:sz w:val="32"/>
          <w:szCs w:val="32"/>
        </w:rPr>
        <w:t>本报告的电子版可在宜春市发</w:t>
      </w:r>
      <w:r>
        <w:rPr>
          <w:rFonts w:hint="eastAsia" w:ascii="仿宋" w:hAnsi="仿宋" w:eastAsia="仿宋"/>
          <w:color w:val="000000"/>
          <w:sz w:val="32"/>
          <w:szCs w:val="32"/>
        </w:rPr>
        <w:t>展和改革委员会网站（</w:t>
      </w:r>
      <w:r>
        <w:rPr>
          <w:rStyle w:val="8"/>
          <w:rFonts w:hint="eastAsia"/>
          <w:sz w:val="32"/>
          <w:szCs w:val="32"/>
        </w:rPr>
        <w:t>http://drc.yichun.gov.cn/</w:t>
      </w:r>
      <w:r>
        <w:rPr>
          <w:rFonts w:hint="eastAsia" w:ascii="仿宋" w:hAnsi="仿宋" w:eastAsia="仿宋"/>
          <w:color w:val="000000"/>
          <w:sz w:val="32"/>
          <w:szCs w:val="32"/>
        </w:rPr>
        <w:t>）下载。如对本报告有任何疑问, 请与宜春市发展和改革委员会联系（电话：0795-3216701）。</w:t>
      </w:r>
      <w:r>
        <w:rPr>
          <w:rFonts w:hint="eastAsia" w:ascii="仿宋" w:hAnsi="仿宋" w:eastAsia="仿宋" w:cs="仿宋"/>
          <w:color w:val="000000"/>
          <w:sz w:val="31"/>
          <w:szCs w:val="31"/>
        </w:rPr>
        <w:t>如需了解更多政府信息，请登录查询，我委在政府信息公开方面不收取任何费用。</w:t>
      </w:r>
    </w:p>
    <w:p>
      <w:pPr>
        <w:pStyle w:val="5"/>
        <w:rPr>
          <w:rStyle w:val="8"/>
        </w:rPr>
      </w:pPr>
    </w:p>
    <w:p>
      <w:pPr>
        <w:overflowPunct w:val="0"/>
        <w:spacing w:line="600" w:lineRule="exact"/>
        <w:ind w:firstLine="620" w:firstLineChars="200"/>
        <w:rPr>
          <w:rFonts w:ascii="仿宋" w:hAnsi="仿宋" w:eastAsia="仿宋" w:cs="仿宋"/>
          <w:color w:val="000000"/>
          <w:sz w:val="31"/>
          <w:szCs w:val="31"/>
        </w:rPr>
      </w:pPr>
    </w:p>
    <w:p>
      <w:pPr>
        <w:ind w:firstLine="5760" w:firstLineChars="1800"/>
        <w:rPr>
          <w:rFonts w:ascii="仿宋" w:hAnsi="仿宋" w:eastAsia="仿宋"/>
          <w:sz w:val="32"/>
          <w:szCs w:val="32"/>
        </w:rPr>
      </w:pPr>
      <w:r>
        <w:rPr>
          <w:rFonts w:hint="eastAsia" w:ascii="仿宋" w:hAnsi="仿宋" w:eastAsia="仿宋"/>
          <w:sz w:val="32"/>
          <w:szCs w:val="32"/>
        </w:rPr>
        <w:t>宜春市发展改革委</w:t>
      </w:r>
    </w:p>
    <w:p>
      <w:pPr>
        <w:tabs>
          <w:tab w:val="left" w:pos="6000"/>
        </w:tabs>
        <w:ind w:firstLine="5920" w:firstLineChars="1850"/>
        <w:rPr>
          <w:rFonts w:ascii="仿宋" w:hAnsi="仿宋" w:eastAsia="仿宋"/>
          <w:sz w:val="32"/>
          <w:szCs w:val="32"/>
        </w:rPr>
      </w:pPr>
      <w:r>
        <w:rPr>
          <w:rFonts w:hint="eastAsia" w:ascii="仿宋" w:hAnsi="仿宋" w:eastAsia="仿宋"/>
          <w:sz w:val="32"/>
          <w:szCs w:val="32"/>
        </w:rPr>
        <w:t>2021年1月25日</w:t>
      </w:r>
    </w:p>
    <w:p>
      <w:pPr>
        <w:widowControl/>
        <w:spacing w:line="420" w:lineRule="atLeast"/>
        <w:jc w:val="left"/>
        <w:rPr>
          <w:rFonts w:ascii="黑体" w:hAnsi="黑体" w:eastAsia="黑体" w:cs="宋体"/>
          <w:bCs/>
          <w:color w:val="000000"/>
          <w:kern w:val="0"/>
          <w:szCs w:val="32"/>
        </w:rPr>
      </w:pPr>
    </w:p>
    <w:p>
      <w:pPr>
        <w:widowControl/>
        <w:spacing w:line="420" w:lineRule="atLeast"/>
        <w:jc w:val="left"/>
        <w:rPr>
          <w:rFonts w:ascii="黑体" w:hAnsi="黑体" w:eastAsia="黑体" w:cs="宋体"/>
          <w:bCs/>
          <w:color w:val="000000"/>
          <w:kern w:val="0"/>
          <w:szCs w:val="32"/>
        </w:rPr>
      </w:pPr>
    </w:p>
    <w:p>
      <w:pPr>
        <w:tabs>
          <w:tab w:val="left" w:pos="6000"/>
        </w:tabs>
        <w:ind w:firstLine="5280" w:firstLineChars="1650"/>
        <w:rPr>
          <w:rFonts w:ascii="仿宋" w:hAnsi="仿宋" w:eastAsia="仿宋" w:cs="仿宋"/>
          <w:sz w:val="32"/>
          <w:szCs w:val="32"/>
        </w:rPr>
      </w:pPr>
    </w:p>
    <w:sectPr>
      <w:pgSz w:w="11906" w:h="16838"/>
      <w:pgMar w:top="1985" w:right="1418"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宋体-PUA">
    <w:panose1 w:val="02010600030101010101"/>
    <w:charset w:val="86"/>
    <w:family w:val="auto"/>
    <w:pitch w:val="default"/>
    <w:sig w:usb0="00000000" w:usb1="1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7AEBB9"/>
    <w:multiLevelType w:val="singleLevel"/>
    <w:tmpl w:val="F17AEBB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9373E"/>
    <w:rsid w:val="0000067E"/>
    <w:rsid w:val="00020D76"/>
    <w:rsid w:val="00024EB3"/>
    <w:rsid w:val="00026EAE"/>
    <w:rsid w:val="000273F2"/>
    <w:rsid w:val="0003119A"/>
    <w:rsid w:val="000314B0"/>
    <w:rsid w:val="0003261C"/>
    <w:rsid w:val="00034FAE"/>
    <w:rsid w:val="000515C5"/>
    <w:rsid w:val="000633B4"/>
    <w:rsid w:val="0008674D"/>
    <w:rsid w:val="00096BE1"/>
    <w:rsid w:val="000A481D"/>
    <w:rsid w:val="000B5A1B"/>
    <w:rsid w:val="000C011B"/>
    <w:rsid w:val="000C0B12"/>
    <w:rsid w:val="0010617F"/>
    <w:rsid w:val="00107A93"/>
    <w:rsid w:val="001231BD"/>
    <w:rsid w:val="00147623"/>
    <w:rsid w:val="00154CEE"/>
    <w:rsid w:val="00172B03"/>
    <w:rsid w:val="00174A6C"/>
    <w:rsid w:val="001831DF"/>
    <w:rsid w:val="001859DD"/>
    <w:rsid w:val="00186550"/>
    <w:rsid w:val="001A3C8F"/>
    <w:rsid w:val="001C1A1E"/>
    <w:rsid w:val="001C2C3E"/>
    <w:rsid w:val="001C6E6D"/>
    <w:rsid w:val="001C7375"/>
    <w:rsid w:val="001F5099"/>
    <w:rsid w:val="00230AA9"/>
    <w:rsid w:val="0024309F"/>
    <w:rsid w:val="00245839"/>
    <w:rsid w:val="00254008"/>
    <w:rsid w:val="00256BF9"/>
    <w:rsid w:val="00257153"/>
    <w:rsid w:val="00262B33"/>
    <w:rsid w:val="00277088"/>
    <w:rsid w:val="002B2969"/>
    <w:rsid w:val="002B63A3"/>
    <w:rsid w:val="002B7AB0"/>
    <w:rsid w:val="002B7E36"/>
    <w:rsid w:val="002C0E58"/>
    <w:rsid w:val="003043FE"/>
    <w:rsid w:val="00304F5D"/>
    <w:rsid w:val="00322C9B"/>
    <w:rsid w:val="00323366"/>
    <w:rsid w:val="003531B0"/>
    <w:rsid w:val="003573BB"/>
    <w:rsid w:val="0036071D"/>
    <w:rsid w:val="00363AA3"/>
    <w:rsid w:val="003808CE"/>
    <w:rsid w:val="00380CAB"/>
    <w:rsid w:val="00383697"/>
    <w:rsid w:val="0038666B"/>
    <w:rsid w:val="003A1BEC"/>
    <w:rsid w:val="003E01F1"/>
    <w:rsid w:val="003E2C54"/>
    <w:rsid w:val="00407044"/>
    <w:rsid w:val="00423B7B"/>
    <w:rsid w:val="00437EE9"/>
    <w:rsid w:val="004610F1"/>
    <w:rsid w:val="00463CA6"/>
    <w:rsid w:val="0047640E"/>
    <w:rsid w:val="004B5F4F"/>
    <w:rsid w:val="004C2453"/>
    <w:rsid w:val="004C51CD"/>
    <w:rsid w:val="0050283A"/>
    <w:rsid w:val="00502EAB"/>
    <w:rsid w:val="005032D8"/>
    <w:rsid w:val="005045C6"/>
    <w:rsid w:val="005059B8"/>
    <w:rsid w:val="00555862"/>
    <w:rsid w:val="0058399A"/>
    <w:rsid w:val="0059114F"/>
    <w:rsid w:val="00593462"/>
    <w:rsid w:val="005A2365"/>
    <w:rsid w:val="005A51BA"/>
    <w:rsid w:val="005A65DF"/>
    <w:rsid w:val="005B049F"/>
    <w:rsid w:val="005E548C"/>
    <w:rsid w:val="005E7434"/>
    <w:rsid w:val="005F57F5"/>
    <w:rsid w:val="00606A16"/>
    <w:rsid w:val="006108AC"/>
    <w:rsid w:val="00611102"/>
    <w:rsid w:val="00623670"/>
    <w:rsid w:val="00630542"/>
    <w:rsid w:val="00632764"/>
    <w:rsid w:val="00640D74"/>
    <w:rsid w:val="00641700"/>
    <w:rsid w:val="00647EC0"/>
    <w:rsid w:val="006507E3"/>
    <w:rsid w:val="00671F25"/>
    <w:rsid w:val="00681680"/>
    <w:rsid w:val="006A424B"/>
    <w:rsid w:val="006B5FEE"/>
    <w:rsid w:val="006C237C"/>
    <w:rsid w:val="006F63CA"/>
    <w:rsid w:val="00715FFD"/>
    <w:rsid w:val="0071799C"/>
    <w:rsid w:val="007455D7"/>
    <w:rsid w:val="0077346E"/>
    <w:rsid w:val="007870D2"/>
    <w:rsid w:val="0079373E"/>
    <w:rsid w:val="007A0751"/>
    <w:rsid w:val="007A572F"/>
    <w:rsid w:val="007A5EA4"/>
    <w:rsid w:val="007B2F43"/>
    <w:rsid w:val="008060D3"/>
    <w:rsid w:val="0080619B"/>
    <w:rsid w:val="00806D65"/>
    <w:rsid w:val="00817E0F"/>
    <w:rsid w:val="00823D01"/>
    <w:rsid w:val="00850B1D"/>
    <w:rsid w:val="00853674"/>
    <w:rsid w:val="00876E55"/>
    <w:rsid w:val="008A3A5F"/>
    <w:rsid w:val="008D7F74"/>
    <w:rsid w:val="008F1E36"/>
    <w:rsid w:val="008F7817"/>
    <w:rsid w:val="00907634"/>
    <w:rsid w:val="00935E91"/>
    <w:rsid w:val="0094170F"/>
    <w:rsid w:val="0095342B"/>
    <w:rsid w:val="0097104A"/>
    <w:rsid w:val="00981476"/>
    <w:rsid w:val="009A05FB"/>
    <w:rsid w:val="009A5A2A"/>
    <w:rsid w:val="009A66FC"/>
    <w:rsid w:val="009B739E"/>
    <w:rsid w:val="009C3FA5"/>
    <w:rsid w:val="009C759C"/>
    <w:rsid w:val="009C7AC8"/>
    <w:rsid w:val="009F4CCA"/>
    <w:rsid w:val="00A50ADB"/>
    <w:rsid w:val="00A55725"/>
    <w:rsid w:val="00A859D6"/>
    <w:rsid w:val="00AB4EF9"/>
    <w:rsid w:val="00AC04E5"/>
    <w:rsid w:val="00AD25D7"/>
    <w:rsid w:val="00AD6116"/>
    <w:rsid w:val="00AF1EF3"/>
    <w:rsid w:val="00B1056D"/>
    <w:rsid w:val="00B1642C"/>
    <w:rsid w:val="00B216A5"/>
    <w:rsid w:val="00B318AA"/>
    <w:rsid w:val="00B463A4"/>
    <w:rsid w:val="00B54878"/>
    <w:rsid w:val="00B575F4"/>
    <w:rsid w:val="00B614C7"/>
    <w:rsid w:val="00B75080"/>
    <w:rsid w:val="00B903C1"/>
    <w:rsid w:val="00B912F6"/>
    <w:rsid w:val="00BA3287"/>
    <w:rsid w:val="00BB2F44"/>
    <w:rsid w:val="00BB3735"/>
    <w:rsid w:val="00BF5752"/>
    <w:rsid w:val="00C274B2"/>
    <w:rsid w:val="00C67A6C"/>
    <w:rsid w:val="00C82823"/>
    <w:rsid w:val="00C94A59"/>
    <w:rsid w:val="00C95E91"/>
    <w:rsid w:val="00C96B7C"/>
    <w:rsid w:val="00CF1505"/>
    <w:rsid w:val="00D07FA7"/>
    <w:rsid w:val="00D25D84"/>
    <w:rsid w:val="00D344D3"/>
    <w:rsid w:val="00D44CA0"/>
    <w:rsid w:val="00D54169"/>
    <w:rsid w:val="00D547E3"/>
    <w:rsid w:val="00D6092E"/>
    <w:rsid w:val="00D74D48"/>
    <w:rsid w:val="00D841C0"/>
    <w:rsid w:val="00D949B0"/>
    <w:rsid w:val="00DB4544"/>
    <w:rsid w:val="00DB60F1"/>
    <w:rsid w:val="00DD1FAD"/>
    <w:rsid w:val="00E00B91"/>
    <w:rsid w:val="00E036C0"/>
    <w:rsid w:val="00E04D8E"/>
    <w:rsid w:val="00E102A3"/>
    <w:rsid w:val="00E31230"/>
    <w:rsid w:val="00E57777"/>
    <w:rsid w:val="00E6719D"/>
    <w:rsid w:val="00EB3A2B"/>
    <w:rsid w:val="00EB4278"/>
    <w:rsid w:val="00EE69D7"/>
    <w:rsid w:val="00F024D0"/>
    <w:rsid w:val="00F027FA"/>
    <w:rsid w:val="00F12A6A"/>
    <w:rsid w:val="00F231D1"/>
    <w:rsid w:val="00F42A02"/>
    <w:rsid w:val="00F47D0D"/>
    <w:rsid w:val="00F5362B"/>
    <w:rsid w:val="00F61624"/>
    <w:rsid w:val="00F7445F"/>
    <w:rsid w:val="00F85C93"/>
    <w:rsid w:val="00FA2637"/>
    <w:rsid w:val="00FC134E"/>
    <w:rsid w:val="00FC20E8"/>
    <w:rsid w:val="00FD70E9"/>
    <w:rsid w:val="00FD75DB"/>
    <w:rsid w:val="00FE3C4B"/>
    <w:rsid w:val="00FE6A22"/>
    <w:rsid w:val="01D56D22"/>
    <w:rsid w:val="031442EE"/>
    <w:rsid w:val="04A919D7"/>
    <w:rsid w:val="055D00B1"/>
    <w:rsid w:val="05BB66CE"/>
    <w:rsid w:val="05CD604B"/>
    <w:rsid w:val="05DD595B"/>
    <w:rsid w:val="06AE0279"/>
    <w:rsid w:val="08D16D91"/>
    <w:rsid w:val="0A0B4D43"/>
    <w:rsid w:val="0A477DD2"/>
    <w:rsid w:val="0C4147F8"/>
    <w:rsid w:val="0CCF6EC1"/>
    <w:rsid w:val="0DE9584F"/>
    <w:rsid w:val="11C6660A"/>
    <w:rsid w:val="12601FEE"/>
    <w:rsid w:val="127D6261"/>
    <w:rsid w:val="12863708"/>
    <w:rsid w:val="129621A6"/>
    <w:rsid w:val="12BF52CA"/>
    <w:rsid w:val="148235D2"/>
    <w:rsid w:val="15A501BF"/>
    <w:rsid w:val="168A5825"/>
    <w:rsid w:val="1A1D1A7F"/>
    <w:rsid w:val="1A29196B"/>
    <w:rsid w:val="1AD5253A"/>
    <w:rsid w:val="1AF2441A"/>
    <w:rsid w:val="1B8951B1"/>
    <w:rsid w:val="1B99316E"/>
    <w:rsid w:val="1D00568E"/>
    <w:rsid w:val="1E250A39"/>
    <w:rsid w:val="1FBC1625"/>
    <w:rsid w:val="224231DF"/>
    <w:rsid w:val="23485928"/>
    <w:rsid w:val="2421762C"/>
    <w:rsid w:val="24FF546A"/>
    <w:rsid w:val="255A6921"/>
    <w:rsid w:val="26AD580F"/>
    <w:rsid w:val="27333E73"/>
    <w:rsid w:val="29122D8F"/>
    <w:rsid w:val="29CC6CEF"/>
    <w:rsid w:val="2AAB57B8"/>
    <w:rsid w:val="2AAF2614"/>
    <w:rsid w:val="2C486CA2"/>
    <w:rsid w:val="2C8E3C1A"/>
    <w:rsid w:val="2F7FA8CA"/>
    <w:rsid w:val="30EA2E66"/>
    <w:rsid w:val="324D459E"/>
    <w:rsid w:val="3270586A"/>
    <w:rsid w:val="329A2602"/>
    <w:rsid w:val="346930BE"/>
    <w:rsid w:val="3517098F"/>
    <w:rsid w:val="36601025"/>
    <w:rsid w:val="36C36AAD"/>
    <w:rsid w:val="37FD05FA"/>
    <w:rsid w:val="396B4292"/>
    <w:rsid w:val="3DB40EAA"/>
    <w:rsid w:val="3EA17B16"/>
    <w:rsid w:val="3FDB2D03"/>
    <w:rsid w:val="4051439C"/>
    <w:rsid w:val="456E6B7C"/>
    <w:rsid w:val="47892306"/>
    <w:rsid w:val="48DF6C37"/>
    <w:rsid w:val="4BF352F0"/>
    <w:rsid w:val="4C0E2162"/>
    <w:rsid w:val="4C954416"/>
    <w:rsid w:val="4E1C7F6A"/>
    <w:rsid w:val="4E404B3A"/>
    <w:rsid w:val="4F7D37EA"/>
    <w:rsid w:val="50823830"/>
    <w:rsid w:val="5216614E"/>
    <w:rsid w:val="53D63096"/>
    <w:rsid w:val="54C22B88"/>
    <w:rsid w:val="54EA61EA"/>
    <w:rsid w:val="55456C45"/>
    <w:rsid w:val="55632EE1"/>
    <w:rsid w:val="57004F50"/>
    <w:rsid w:val="58705B60"/>
    <w:rsid w:val="58E370E6"/>
    <w:rsid w:val="5A78253E"/>
    <w:rsid w:val="5B546D9F"/>
    <w:rsid w:val="5B5F3C40"/>
    <w:rsid w:val="5BA01DCF"/>
    <w:rsid w:val="63AE10C8"/>
    <w:rsid w:val="64504D2E"/>
    <w:rsid w:val="662E76DF"/>
    <w:rsid w:val="665C3F57"/>
    <w:rsid w:val="69764F8E"/>
    <w:rsid w:val="69DA379E"/>
    <w:rsid w:val="6A1D5017"/>
    <w:rsid w:val="6A480F05"/>
    <w:rsid w:val="6B3C275D"/>
    <w:rsid w:val="6BAD6F8C"/>
    <w:rsid w:val="6CC81E1C"/>
    <w:rsid w:val="6D43660A"/>
    <w:rsid w:val="6D443AC8"/>
    <w:rsid w:val="6DCE2B4D"/>
    <w:rsid w:val="6FB43AD4"/>
    <w:rsid w:val="70CD633A"/>
    <w:rsid w:val="7161334E"/>
    <w:rsid w:val="71F3559E"/>
    <w:rsid w:val="724129E6"/>
    <w:rsid w:val="738E5753"/>
    <w:rsid w:val="73C555B9"/>
    <w:rsid w:val="74B51A1C"/>
    <w:rsid w:val="74B5391F"/>
    <w:rsid w:val="768C1D00"/>
    <w:rsid w:val="771A156C"/>
    <w:rsid w:val="77EE53E3"/>
    <w:rsid w:val="787622C3"/>
    <w:rsid w:val="78887F0B"/>
    <w:rsid w:val="78AE73E9"/>
    <w:rsid w:val="7A123398"/>
    <w:rsid w:val="7C315632"/>
    <w:rsid w:val="7E893D99"/>
    <w:rsid w:val="BF7F1CB8"/>
    <w:rsid w:val="D97FDD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2">
    <w:name w:val="日期 Char"/>
    <w:basedOn w:val="7"/>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Pages>
  <Words>588</Words>
  <Characters>3358</Characters>
  <Lines>27</Lines>
  <Paragraphs>7</Paragraphs>
  <TotalTime>9</TotalTime>
  <ScaleCrop>false</ScaleCrop>
  <LinksUpToDate>false</LinksUpToDate>
  <CharactersWithSpaces>3939</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2021-05-12T18:01:00Z</dcterms:created>
  <dc:creator>NTKO</dc:creator>
  <cp:lastModifiedBy>admin123</cp:lastModifiedBy>
  <cp:lastPrinted>2021-01-06T18:54:00Z</cp:lastPrinted>
  <dcterms:modified xsi:type="dcterms:W3CDTF">2024-01-25T10:29:32Z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AD7289F1FC574E4EB97CE9F9081FB67B</vt:lpwstr>
  </property>
</Properties>
</file>